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right="-333" w:rightChars="-104"/>
        <w:jc w:val="center"/>
        <w:rPr>
          <w:rFonts w:hint="eastAsia" w:ascii="方正小标宋简体" w:eastAsia="方正小标宋简体"/>
          <w:sz w:val="44"/>
          <w:szCs w:val="44"/>
          <w:highlight w:val="none"/>
        </w:rPr>
      </w:pPr>
      <w:bookmarkStart w:id="0" w:name="_GoBack"/>
    </w:p>
    <w:p>
      <w:pPr>
        <w:adjustRightInd w:val="0"/>
        <w:snapToGrid w:val="0"/>
        <w:spacing w:line="600" w:lineRule="exact"/>
        <w:ind w:right="-333" w:rightChars="-104"/>
        <w:jc w:val="center"/>
        <w:rPr>
          <w:rFonts w:hint="eastAsia" w:ascii="方正小标宋简体" w:eastAsia="方正小标宋简体"/>
          <w:sz w:val="44"/>
          <w:szCs w:val="44"/>
          <w:highlight w:val="none"/>
        </w:rPr>
      </w:pPr>
    </w:p>
    <w:p>
      <w:pPr>
        <w:adjustRightInd w:val="0"/>
        <w:snapToGrid w:val="0"/>
        <w:spacing w:line="600" w:lineRule="exact"/>
        <w:ind w:right="-333" w:rightChars="-104"/>
        <w:jc w:val="center"/>
        <w:rPr>
          <w:rFonts w:hint="eastAsia" w:ascii="黑体" w:hAnsi="宋体" w:eastAsia="黑体"/>
          <w:bCs/>
          <w:szCs w:val="32"/>
          <w:highlight w:val="none"/>
        </w:rPr>
      </w:pPr>
      <w:r>
        <w:rPr>
          <w:rFonts w:hint="eastAsia" w:ascii="方正小标宋简体" w:eastAsia="方正小标宋简体"/>
          <w:sz w:val="44"/>
          <w:szCs w:val="44"/>
          <w:highlight w:val="none"/>
          <w:lang w:val="en-US" w:eastAsia="zh-CN"/>
        </w:rPr>
        <w:t>广西交通技师学院</w:t>
      </w: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hint="eastAsia" w:ascii="方正小标宋简体" w:eastAsia="方正小标宋简体"/>
          <w:sz w:val="44"/>
          <w:szCs w:val="44"/>
          <w:highlight w:val="none"/>
        </w:rPr>
        <w:t>年部门预算公开</w:t>
      </w:r>
    </w:p>
    <w:p>
      <w:pPr>
        <w:adjustRightInd w:val="0"/>
        <w:snapToGrid w:val="0"/>
        <w:spacing w:line="600" w:lineRule="exact"/>
        <w:ind w:right="-333" w:rightChars="-104"/>
        <w:jc w:val="center"/>
        <w:rPr>
          <w:rFonts w:hint="eastAsia" w:ascii="黑体" w:hAnsi="宋体" w:eastAsia="黑体"/>
          <w:bCs/>
          <w:szCs w:val="32"/>
          <w:highlight w:val="none"/>
        </w:rPr>
      </w:pPr>
    </w:p>
    <w:p>
      <w:pPr>
        <w:adjustRightInd w:val="0"/>
        <w:snapToGrid w:val="0"/>
        <w:spacing w:line="600" w:lineRule="exact"/>
        <w:ind w:right="-333" w:rightChars="-104"/>
        <w:jc w:val="center"/>
        <w:rPr>
          <w:rFonts w:hint="eastAsia" w:ascii="黑体" w:hAnsi="宋体" w:eastAsia="黑体"/>
          <w:bCs/>
          <w:szCs w:val="32"/>
          <w:highlight w:val="none"/>
        </w:rPr>
      </w:pPr>
      <w:r>
        <w:rPr>
          <w:rFonts w:hint="eastAsia" w:ascii="黑体" w:hAnsi="宋体" w:eastAsia="黑体"/>
          <w:bCs/>
          <w:szCs w:val="32"/>
          <w:highlight w:val="none"/>
        </w:rPr>
        <w:t>目  录</w:t>
      </w: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r>
        <w:rPr>
          <w:rFonts w:hint="eastAsia" w:ascii="黑体" w:hAnsi="宋体" w:eastAsia="黑体"/>
          <w:bCs/>
          <w:szCs w:val="32"/>
          <w:highlight w:val="none"/>
        </w:rPr>
        <w:t>第一部分：</w:t>
      </w:r>
      <w:r>
        <w:rPr>
          <w:rFonts w:hint="eastAsia" w:ascii="黑体" w:hAnsi="宋体" w:eastAsia="黑体"/>
          <w:bCs/>
          <w:szCs w:val="32"/>
          <w:highlight w:val="none"/>
          <w:lang w:eastAsia="zh-CN"/>
        </w:rPr>
        <w:t>部门</w:t>
      </w:r>
      <w:r>
        <w:rPr>
          <w:rFonts w:hint="eastAsia" w:ascii="黑体" w:hAnsi="宋体" w:eastAsia="黑体"/>
          <w:bCs/>
          <w:szCs w:val="32"/>
          <w:highlight w:val="none"/>
        </w:rPr>
        <w:t>概况</w:t>
      </w: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r>
        <w:rPr>
          <w:rFonts w:hint="eastAsia" w:ascii="黑体" w:eastAsia="黑体"/>
          <w:szCs w:val="32"/>
          <w:highlight w:val="none"/>
        </w:rPr>
        <w:t>第二部分：</w:t>
      </w:r>
      <w:r>
        <w:rPr>
          <w:rFonts w:hint="eastAsia" w:ascii="黑体" w:hAnsi="宋体" w:eastAsia="黑体" w:cs="黑体"/>
          <w:i w:val="0"/>
          <w:iCs w:val="0"/>
          <w:caps w:val="0"/>
          <w:color w:val="212529"/>
          <w:spacing w:val="0"/>
          <w:sz w:val="32"/>
          <w:szCs w:val="32"/>
          <w:highlight w:val="none"/>
          <w:shd w:val="clear" w:fill="FDFDFD"/>
        </w:rPr>
        <w:t>广西交通技师学院202</w:t>
      </w:r>
      <w:r>
        <w:rPr>
          <w:rFonts w:hint="eastAsia" w:ascii="黑体" w:hAnsi="宋体" w:eastAsia="黑体" w:cs="黑体"/>
          <w:i w:val="0"/>
          <w:iCs w:val="0"/>
          <w:caps w:val="0"/>
          <w:color w:val="212529"/>
          <w:spacing w:val="0"/>
          <w:sz w:val="32"/>
          <w:szCs w:val="32"/>
          <w:highlight w:val="none"/>
          <w:shd w:val="clear" w:fill="FDFDFD"/>
          <w:lang w:val="en-US" w:eastAsia="zh-CN"/>
        </w:rPr>
        <w:t>3</w:t>
      </w:r>
      <w:r>
        <w:rPr>
          <w:rFonts w:hint="eastAsia" w:ascii="黑体" w:hAnsi="宋体" w:eastAsia="黑体" w:cs="黑体"/>
          <w:i w:val="0"/>
          <w:iCs w:val="0"/>
          <w:caps w:val="0"/>
          <w:color w:val="212529"/>
          <w:spacing w:val="0"/>
          <w:sz w:val="32"/>
          <w:szCs w:val="32"/>
          <w:highlight w:val="none"/>
          <w:shd w:val="clear" w:fill="FDFDFD"/>
        </w:rPr>
        <w:t>年</w:t>
      </w:r>
      <w:r>
        <w:rPr>
          <w:rFonts w:hint="eastAsia" w:ascii="黑体" w:hAnsi="宋体" w:eastAsia="黑体" w:cs="黑体"/>
          <w:i w:val="0"/>
          <w:iCs w:val="0"/>
          <w:caps w:val="0"/>
          <w:color w:val="212529"/>
          <w:spacing w:val="0"/>
          <w:sz w:val="32"/>
          <w:szCs w:val="32"/>
          <w:highlight w:val="none"/>
          <w:shd w:val="clear" w:fill="FDFDFD"/>
          <w:lang w:eastAsia="zh-CN"/>
        </w:rPr>
        <w:t>部门</w:t>
      </w:r>
      <w:r>
        <w:rPr>
          <w:rFonts w:hint="eastAsia" w:ascii="黑体" w:hAnsi="宋体" w:eastAsia="黑体" w:cs="黑体"/>
          <w:i w:val="0"/>
          <w:iCs w:val="0"/>
          <w:caps w:val="0"/>
          <w:color w:val="212529"/>
          <w:spacing w:val="0"/>
          <w:sz w:val="32"/>
          <w:szCs w:val="32"/>
          <w:highlight w:val="none"/>
          <w:shd w:val="clear" w:fill="FDFDFD"/>
        </w:rPr>
        <w:t>预算情况说明</w:t>
      </w: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r>
        <w:rPr>
          <w:rFonts w:hint="eastAsia" w:ascii="黑体" w:eastAsia="黑体"/>
          <w:szCs w:val="32"/>
          <w:highlight w:val="none"/>
        </w:rPr>
        <w:t>第三部分：名词解释</w:t>
      </w: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r>
        <w:rPr>
          <w:rFonts w:hint="eastAsia" w:ascii="黑体" w:hAnsi="宋体" w:eastAsia="黑体"/>
          <w:bCs/>
          <w:szCs w:val="32"/>
          <w:highlight w:val="none"/>
        </w:rPr>
        <w:t>第四部分：</w:t>
      </w:r>
      <w:r>
        <w:rPr>
          <w:rFonts w:hint="eastAsia" w:ascii="黑体" w:hAnsi="宋体" w:eastAsia="黑体" w:cs="黑体"/>
          <w:i w:val="0"/>
          <w:iCs w:val="0"/>
          <w:caps w:val="0"/>
          <w:color w:val="212529"/>
          <w:spacing w:val="0"/>
          <w:sz w:val="32"/>
          <w:szCs w:val="32"/>
          <w:highlight w:val="none"/>
          <w:shd w:val="clear" w:fill="FDFDFD"/>
        </w:rPr>
        <w:t>广西交通技师学</w:t>
      </w:r>
      <w:r>
        <w:rPr>
          <w:rFonts w:hint="eastAsia" w:ascii="黑体" w:hAnsi="宋体" w:eastAsia="黑体" w:cs="黑体"/>
          <w:i w:val="0"/>
          <w:iCs w:val="0"/>
          <w:caps w:val="0"/>
          <w:color w:val="212529"/>
          <w:spacing w:val="0"/>
          <w:sz w:val="32"/>
          <w:szCs w:val="32"/>
          <w:highlight w:val="none"/>
          <w:shd w:val="clear" w:fill="FDFDFD"/>
        </w:rPr>
        <w:t>院202</w:t>
      </w:r>
      <w:r>
        <w:rPr>
          <w:rFonts w:hint="eastAsia" w:ascii="黑体" w:hAnsi="宋体" w:eastAsia="黑体" w:cs="黑体"/>
          <w:i w:val="0"/>
          <w:iCs w:val="0"/>
          <w:caps w:val="0"/>
          <w:color w:val="212529"/>
          <w:spacing w:val="0"/>
          <w:sz w:val="32"/>
          <w:szCs w:val="32"/>
          <w:highlight w:val="none"/>
          <w:shd w:val="clear" w:fill="FDFDFD"/>
          <w:lang w:val="en-US" w:eastAsia="zh-CN"/>
        </w:rPr>
        <w:t>3</w:t>
      </w:r>
      <w:r>
        <w:rPr>
          <w:rFonts w:hint="eastAsia" w:ascii="黑体" w:hAnsi="宋体" w:eastAsia="黑体" w:cs="黑体"/>
          <w:i w:val="0"/>
          <w:iCs w:val="0"/>
          <w:caps w:val="0"/>
          <w:color w:val="212529"/>
          <w:spacing w:val="0"/>
          <w:sz w:val="32"/>
          <w:szCs w:val="32"/>
          <w:highlight w:val="none"/>
          <w:shd w:val="clear" w:fill="FDFDFD"/>
        </w:rPr>
        <w:t>年部门预算报表</w:t>
      </w: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p>
    <w:p>
      <w:pPr>
        <w:adjustRightInd w:val="0"/>
        <w:snapToGrid w:val="0"/>
        <w:spacing w:line="600" w:lineRule="exact"/>
        <w:ind w:right="-333" w:rightChars="-104" w:firstLine="640" w:firstLineChars="200"/>
        <w:rPr>
          <w:rFonts w:hint="eastAsia" w:ascii="黑体" w:hAnsi="宋体" w:eastAsia="黑体"/>
          <w:bCs/>
          <w:szCs w:val="32"/>
          <w:highlight w:val="none"/>
        </w:rPr>
      </w:pPr>
      <w:r>
        <w:rPr>
          <w:rFonts w:hint="eastAsia" w:ascii="黑体" w:hAnsi="宋体" w:eastAsia="黑体"/>
          <w:bCs/>
          <w:szCs w:val="32"/>
          <w:highlight w:val="none"/>
        </w:rPr>
        <w:t>第一部分：部门概况</w:t>
      </w:r>
    </w:p>
    <w:p>
      <w:pPr>
        <w:adjustRightInd w:val="0"/>
        <w:snapToGrid w:val="0"/>
        <w:spacing w:line="600" w:lineRule="exact"/>
        <w:ind w:right="-333" w:rightChars="-104" w:firstLine="640" w:firstLineChars="200"/>
        <w:rPr>
          <w:rFonts w:hint="eastAsia" w:ascii="黑体" w:hAnsi="宋体" w:eastAsia="黑体"/>
          <w:szCs w:val="32"/>
          <w:highlight w:val="none"/>
          <w:lang w:eastAsia="zh-CN"/>
        </w:rPr>
      </w:pPr>
      <w:r>
        <w:rPr>
          <w:rFonts w:hint="eastAsia" w:ascii="黑体" w:hAnsi="宋体" w:eastAsia="黑体"/>
          <w:bCs/>
          <w:szCs w:val="32"/>
          <w:highlight w:val="none"/>
        </w:rPr>
        <w:t>一</w:t>
      </w:r>
      <w:r>
        <w:rPr>
          <w:rFonts w:hint="eastAsia" w:ascii="黑体" w:hAnsi="宋体" w:eastAsia="黑体"/>
          <w:szCs w:val="32"/>
          <w:highlight w:val="none"/>
        </w:rPr>
        <w:t>、主要职</w:t>
      </w:r>
      <w:r>
        <w:rPr>
          <w:rFonts w:hint="eastAsia" w:ascii="黑体" w:hAnsi="宋体" w:eastAsia="黑体"/>
          <w:szCs w:val="32"/>
          <w:highlight w:val="none"/>
          <w:lang w:val="en-US" w:eastAsia="zh-CN"/>
        </w:rPr>
        <w:t>能</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学院按照《中华人民共和国职业教育法》的有关规定，开展中等职业学历教育和职业培训活动。公路工程综合乙等试验检测。</w:t>
      </w:r>
    </w:p>
    <w:p>
      <w:pPr>
        <w:spacing w:line="600" w:lineRule="exact"/>
        <w:ind w:firstLine="640" w:firstLineChars="200"/>
        <w:rPr>
          <w:rFonts w:hint="eastAsia" w:ascii="黑体" w:hAnsi="宋体" w:eastAsia="黑体"/>
          <w:szCs w:val="32"/>
          <w:highlight w:val="none"/>
        </w:rPr>
      </w:pPr>
      <w:r>
        <w:rPr>
          <w:rFonts w:hint="eastAsia" w:ascii="黑体" w:hAnsi="宋体" w:eastAsia="黑体"/>
          <w:szCs w:val="32"/>
          <w:highlight w:val="none"/>
        </w:rPr>
        <w:t>二、机构设置情况</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广西交通技师学院隶属自治区交通运输厅，公益二类事业单位，是自治区交通运输厅所属的二级预算单位。学院管理部门内设办公室、人事科、财务科、教务与科研科、学生工作科、招生就业科、审计科、后勤服务科、安全保卫科、党委办公室、纪检监察室、汽车工程系、交通工程系、信息工程系、商务服务系、民用航空系、基础学科部、质量监控中心、资产管理中心、信息中心、规划建设办公室、成人继续教育与培训鉴定中心、交通工程试验检测中心、工会等职能科室。</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第二部分：</w:t>
      </w:r>
      <w:r>
        <w:rPr>
          <w:rFonts w:hint="eastAsia" w:ascii="黑体" w:hAnsi="宋体" w:eastAsia="黑体"/>
          <w:bCs/>
          <w:szCs w:val="32"/>
          <w:highlight w:val="none"/>
        </w:rPr>
        <w:t>202</w:t>
      </w:r>
      <w:r>
        <w:rPr>
          <w:rFonts w:hint="eastAsia" w:ascii="黑体" w:hAnsi="宋体" w:eastAsia="黑体"/>
          <w:bCs/>
          <w:szCs w:val="32"/>
          <w:highlight w:val="none"/>
          <w:lang w:val="en-US" w:eastAsia="zh-CN"/>
        </w:rPr>
        <w:t>3</w:t>
      </w:r>
      <w:r>
        <w:rPr>
          <w:rFonts w:hint="eastAsia" w:ascii="黑体" w:hAnsi="宋体" w:eastAsia="黑体"/>
          <w:bCs/>
          <w:szCs w:val="32"/>
          <w:highlight w:val="none"/>
        </w:rPr>
        <w:t>年</w:t>
      </w:r>
      <w:r>
        <w:rPr>
          <w:rFonts w:hint="eastAsia" w:ascii="黑体" w:hAnsi="宋体" w:eastAsia="黑体"/>
          <w:bCs/>
          <w:szCs w:val="32"/>
          <w:highlight w:val="none"/>
          <w:lang w:eastAsia="zh-CN"/>
        </w:rPr>
        <w:t>部门</w:t>
      </w:r>
      <w:r>
        <w:rPr>
          <w:rFonts w:hint="eastAsia" w:ascii="黑体" w:hAnsi="宋体" w:eastAsia="黑体"/>
          <w:bCs/>
          <w:szCs w:val="32"/>
          <w:highlight w:val="none"/>
        </w:rPr>
        <w:t>预算情况说明</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一、部门收支总体情况说明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2023年收入总预算17,315.66万元，同比增加1,978.58万元，增长12.90％。增长的主要原因是新增邕武校区二区大板楼学生宿舍危房改造项目、中等职业学校办学条件达标建设、伊岭校区二期工程前期工作项目投入增加。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2023年支出总预算17,315.66万元，同比增加1,978.58万元，增长12.90％。增长的主要原因是新增邕武校区二区大板楼学生宿舍危房改造项目、中等职业学校办学条件达标建设、伊岭校区二期工程前期工作项目支出增加。</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二、部门收入总体情况说明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2023年收入总预算17,315.66万元，同比增加1,978.58万元，增长12.90％。其中：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（一）一般公共预算收入12,165.22万元，同比增长2,026.08万元，增长19.98％,增长的主要原因是新增邕武校区二区大板楼学生宿舍危房改造项目、中等职业学校办学条件达标建设、伊岭校区二期工程前期工作项目。</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（二）政府性基金预算收入0万元，同比增加（减少）0万元，增长（下降）0。</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（三）国有资本经营预算收入0万元，同比增加（减少）0万元，增长（下降）0％。</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四）财政专户管理资金收入4,665.82万元，同比增加2,619.27万元，增长127.98％，其中：教育收费收入4,665.82万元，同比增加2,619.27万元，增长127.98%。增长主要原因是2023年预算在校人数比2022年增加2075人，学费和住宿费会相应增加，另外成人继续教育培训与鉴定中心加大短期培训力度，培训费相应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（五）单位资金收入484.62万元，同比减少365.38万元，下降42.99％,下降主要原因是考试考务费上解财政，以及学院不再管理广西南宁运招大酒店有限责任公司，导致租金收入减少。</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（六）上年结余结转0万元，同比减少2,301.39万元，下降100％,下降主要原因是2021年结转结余已在2022年安排。</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三、部门支出总体情况说明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2023年支出总预算17,315.66万元，同比增加1,978.58万元，增长12.90％。</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（一）本年支出预算17,315.66万元，同比增加1,978.58万元，增长12.9％。</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1、按支出功能分类科目划分，共分为4类，其中：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教育支出16,782.06万元，占支出总预算96.92％，同比增长1,932.18万元，增长13.01％，增长主要原因是：新增邕武校区二区大板楼学生宿舍危房改造项目、中等职业学校办学条件达标建设、伊岭校区二期工程前期工作项目。</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社会保障和就业支出295.08万元，占支出总预算1.70％，同比增加25.66万元，增长9.52％，增长主要原因是人员增加，工资基数增加。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卫生健康支出90.98万元，占支出总预算0.53％，同比增加7.91万元，增长9.52％，增长主要原因是人员增加，工资基数增加。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住房保障支出147.54万元，占支出总预算0.85%，同比增加12.83万元，增长9.52%，增长主要原因是人员增加，工资基数增加。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2、按支出结构分类划分，分为基本支出预算和项目支出预算。</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基本支出预算。</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基本支出预算4,382.40万元，占支出总预算25.31％，同比增加572.35万元，增长15.02％，增长主要原因是实有在校生人数核定较2022年增加，助学金及定额商品和服务支出基数相应增加，其中：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人员经费预算2,690.00万元，占基本支出预算61.38％，同比增加247.21万元，增长10.12％。其中：工资福利支出预算2,220.37万元，占基本支出预算50.67％，同比增加180.42万元，增长8.84％，增长主要原因是人员增加；对个人和家庭的补助预算469.63万元，占基本支出预算10.72％，同比增加66.79万元，增长16.58％。</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公用经费（商品和服务支出）预算1,692.40万元，占基本支出预算38.62％，同比增加323.14万元，增长23.63％。</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项目支出预算。</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项目支出预算12,933.26万元，占支出总预算74.69％，同比增加1,406.23万元，增长12.20％，增长主要原因：新增邕武校区二区大板楼学生宿舍危房改造项目、中等职业学校办学条件达标建设、伊岭校区二期工程前期工作项目。</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（二）结转下年支出预算0万元，与2022年持平。</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四、财政拨款收支总体情况说明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60" w:lineRule="atLeast"/>
        <w:ind w:left="0" w:right="0" w:firstLine="640" w:firstLineChars="200"/>
        <w:jc w:val="left"/>
        <w:rPr>
          <w:rFonts w:hint="eastAsia" w:ascii="黑体" w:hAnsi="Times New Roman" w:eastAsia="黑体" w:cs="Times New Roman"/>
          <w:b w:val="0"/>
          <w:bCs w:val="0"/>
          <w:kern w:val="2"/>
          <w:sz w:val="32"/>
          <w:szCs w:val="32"/>
          <w:highlight w:val="none"/>
          <w:lang w:val="en-US" w:eastAsia="zh-CN" w:bidi="ar-SA"/>
        </w:rPr>
      </w:pPr>
      <w:r>
        <w:rPr>
          <w:rFonts w:hint="eastAsia" w:ascii="黑体" w:hAnsi="Times New Roman" w:eastAsia="黑体" w:cs="Times New Roman"/>
          <w:b w:val="0"/>
          <w:bCs w:val="0"/>
          <w:kern w:val="2"/>
          <w:sz w:val="32"/>
          <w:szCs w:val="32"/>
          <w:highlight w:val="none"/>
          <w:lang w:val="en-US" w:eastAsia="zh-CN" w:bidi="ar-SA"/>
        </w:rPr>
        <w:t>（一）收入预算情况</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2023年一般公共预算收入12,165.22万元，同比增长2,026.08万元，增长19.98％，增长主要原因：新增邕武校区二区大板楼学生宿舍危房改造项目、中等职业学校办学条件达标建设、伊岭校区二期工程前期工作项目。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60" w:lineRule="atLeast"/>
        <w:ind w:left="0" w:right="0" w:firstLine="640" w:firstLineChars="200"/>
        <w:jc w:val="left"/>
        <w:rPr>
          <w:rFonts w:hint="eastAsia" w:ascii="黑体" w:hAnsi="Times New Roman" w:eastAsia="黑体" w:cs="Times New Roman"/>
          <w:b w:val="0"/>
          <w:bCs w:val="0"/>
          <w:kern w:val="2"/>
          <w:sz w:val="32"/>
          <w:szCs w:val="32"/>
          <w:highlight w:val="none"/>
          <w:lang w:val="en-US" w:eastAsia="zh-CN" w:bidi="ar-SA"/>
        </w:rPr>
      </w:pPr>
      <w:r>
        <w:rPr>
          <w:rFonts w:hint="eastAsia" w:ascii="黑体" w:hAnsi="Times New Roman" w:eastAsia="黑体" w:cs="Times New Roman"/>
          <w:b w:val="0"/>
          <w:bCs w:val="0"/>
          <w:kern w:val="2"/>
          <w:sz w:val="32"/>
          <w:szCs w:val="32"/>
          <w:highlight w:val="none"/>
          <w:lang w:val="en-US" w:eastAsia="zh-CN" w:bidi="ar-SA"/>
        </w:rPr>
        <w:t>（二）支出预算情况</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2023年一般公共预算支出12,165.22万元，同比增长2,026.08万元，增长19.98％，增长主要原因：新增邕武校区二区大板楼学生宿舍危房改造项目、中等职业学校办学条件达标建设、伊岭校区二期工程前期工作项目。</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五、一般公共预算支出情况说明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60" w:lineRule="atLeast"/>
        <w:ind w:left="0" w:right="0" w:firstLine="640" w:firstLineChars="200"/>
        <w:jc w:val="left"/>
        <w:rPr>
          <w:rFonts w:hint="eastAsia" w:ascii="黑体" w:hAnsi="Times New Roman" w:eastAsia="黑体" w:cs="Times New Roman"/>
          <w:b w:val="0"/>
          <w:bCs w:val="0"/>
          <w:kern w:val="2"/>
          <w:sz w:val="32"/>
          <w:szCs w:val="32"/>
          <w:highlight w:val="none"/>
          <w:lang w:val="en-US" w:eastAsia="zh-CN" w:bidi="ar-SA"/>
        </w:rPr>
      </w:pPr>
      <w:r>
        <w:rPr>
          <w:rFonts w:hint="eastAsia" w:ascii="黑体" w:hAnsi="Times New Roman" w:eastAsia="黑体" w:cs="Times New Roman"/>
          <w:b w:val="0"/>
          <w:bCs w:val="0"/>
          <w:kern w:val="2"/>
          <w:sz w:val="32"/>
          <w:szCs w:val="32"/>
          <w:highlight w:val="none"/>
          <w:lang w:val="en-US" w:eastAsia="zh-CN" w:bidi="ar-SA"/>
        </w:rPr>
        <w:t>（一）按支出功能分类科目划分，共分为4类，其中：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1、教育支出11,729.98万元，占本年支出总预算96.42％，同比增长1,988.23万元，增长20.41％，增长主要原因：新增邕武校区二区大板楼学生宿舍危房改造项目、中等职业学校办学条件达标建设、伊岭校区二期工程前期工作项目。</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2、社会保障和就业支出196.72万元，占本年支出总预算1.62％，同比增加17.11万元，增长9.53％，增长主要原因是人员增加，工资基数增加。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3、卫生健康支出90.98万元，占本年支出总预算0.75％，同比增加7.91万元，增长9.52％，增长主要原因是人员增加，工资基数增加。</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4、住房保障支出147.54万元，占本年支出总预算1.21％，同比增加12.83万元，增长9.52％，增长主要原因是人员增加，工资基数增加。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60" w:lineRule="atLeast"/>
        <w:ind w:left="0" w:right="0" w:firstLine="640" w:firstLineChars="200"/>
        <w:jc w:val="left"/>
        <w:rPr>
          <w:rFonts w:hint="eastAsia" w:ascii="黑体" w:hAnsi="Times New Roman" w:eastAsia="黑体" w:cs="Times New Roman"/>
          <w:b w:val="0"/>
          <w:bCs w:val="0"/>
          <w:kern w:val="2"/>
          <w:sz w:val="32"/>
          <w:szCs w:val="32"/>
          <w:highlight w:val="none"/>
          <w:lang w:val="en-US" w:eastAsia="zh-CN" w:bidi="ar-SA"/>
        </w:rPr>
      </w:pPr>
      <w:r>
        <w:rPr>
          <w:rFonts w:hint="eastAsia" w:ascii="黑体" w:hAnsi="Times New Roman" w:eastAsia="黑体" w:cs="Times New Roman"/>
          <w:b w:val="0"/>
          <w:bCs w:val="0"/>
          <w:kern w:val="2"/>
          <w:sz w:val="32"/>
          <w:szCs w:val="32"/>
          <w:highlight w:val="none"/>
          <w:lang w:val="en-US" w:eastAsia="zh-CN" w:bidi="ar-SA"/>
        </w:rPr>
        <w:t>（二）按支出结构分类划分，分为基本支出预算和项目支出预算。</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基本支出预算。</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基本支出预算4,041.47万元，占支出总预算33.22％，同比增加569.15万元，增长16.39％，增长主要原因是实有在校生人数核定较2022年增加，助学金及定额商品和服务支出基数相应增加，其中：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人员经费预算2,416.57万元，占基本支出预算59.79％，同比增加234.51万元，增长10.75％。其中：工资福利支出预算2,065.36万元，占基本支出预算51.10％，同比增加171.79万元，增长9.07％；对个人和家庭的补助预算351.21万元，占基本支出预算8.69％，同比增加62.73万元，增长21.75％。</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公用经费（商品和服务支出）预算1,624.90万元，占基本支出预算40.21％，同比增加334.64万元，增长25.94％。项目支出预算。</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项目支出预算8,123.75万元，占支出总预算66.78％，同比增长1,456.93万元，增长21.85％，增加</w:t>
      </w:r>
      <w:r>
        <w:rPr>
          <w:rFonts w:hint="eastAsia" w:ascii="仿宋_GB2312" w:hAnsi="宋体"/>
          <w:szCs w:val="32"/>
          <w:highlight w:val="none"/>
          <w:lang w:val="en-US" w:eastAsia="zh-CN"/>
        </w:rPr>
        <w:t>主要</w:t>
      </w:r>
      <w:r>
        <w:rPr>
          <w:rFonts w:hint="eastAsia" w:ascii="仿宋_GB2312" w:hAnsi="宋体"/>
          <w:szCs w:val="32"/>
          <w:highlight w:val="none"/>
          <w:lang w:val="en-US" w:eastAsia="zh-CN"/>
        </w:rPr>
        <w:t>原因是新增邕武校区二区大板楼学生宿舍危房改造项目、中等职业学校办学条件达标建设、伊岭校区二期工程前期工作项目。</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六、一般公共预算基本支出情况说明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基本支出预算4,041.47万元，占一般公共预算33.22％，同比增加569.15万元，增长16.39％，增长主要原因是实有在校生人数核定较2022年增加，助学金及定额商品和服务支出基数相应增加，其中：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人员经费预算2,416.57万元，占基本支出预算59.79％，同比增加234.51万元，增长10.75％。其中：工资福利支出预算2,065.36万元，占基本支出预算51.10％，同比增加171.79万元，增长9.07％；对个人和家庭的补助预算351.21万元，占基本支出预算8.69％，同比增加62.73万元，增长21.75％。</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公用经费（商品和服务支出）预算1,624.90万元，占基本支出预算40.21％，同比增加334.64万元，增长25.94％。</w:t>
      </w:r>
    </w:p>
    <w:p>
      <w:pPr>
        <w:spacing w:line="600" w:lineRule="exact"/>
        <w:ind w:firstLine="640"/>
        <w:rPr>
          <w:rFonts w:hint="eastAsia" w:ascii="黑体" w:eastAsia="黑体"/>
          <w:szCs w:val="32"/>
          <w:highlight w:val="none"/>
        </w:rPr>
      </w:pPr>
      <w:r>
        <w:rPr>
          <w:rFonts w:hint="eastAsia" w:ascii="黑体" w:eastAsia="黑体"/>
          <w:szCs w:val="32"/>
          <w:highlight w:val="none"/>
        </w:rPr>
        <w:t>七、一般公共预算“三公”经费支出情况说明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2023年一般公共预算“三公”经费、会议费和培训费20万元，与2022年持平，其中：</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（一）“三公”经费0万元，与2022年持平。</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因公出国（境）费0万元，同比增加0万元，与2022年持平；</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公务用车购置及运行维护费0万元，同比增加0万元，与2022年持平。</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公务接待费0万元，与2022年持平。</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（二）会议费0万元，同比增加0万元，与2022年持平。</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（三）培训费20万元，同比增加0万元，与2022年持平。</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八、政府性基金预算支出情况说明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我院</w:t>
      </w:r>
      <w:r>
        <w:rPr>
          <w:rFonts w:hint="eastAsia" w:ascii="仿宋_GB2312" w:hAnsi="宋体"/>
          <w:szCs w:val="32"/>
          <w:highlight w:val="none"/>
          <w:lang w:val="en-US" w:eastAsia="zh-CN"/>
        </w:rPr>
        <w:t>2023年部门预算无政府性基金预算。</w:t>
      </w:r>
    </w:p>
    <w:p>
      <w:pPr>
        <w:tabs>
          <w:tab w:val="center" w:pos="4475"/>
        </w:tabs>
        <w:spacing w:line="600" w:lineRule="exact"/>
        <w:ind w:firstLine="645"/>
        <w:rPr>
          <w:rFonts w:hint="eastAsia" w:ascii="黑体" w:eastAsia="黑体"/>
          <w:szCs w:val="32"/>
          <w:highlight w:val="none"/>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我院</w:t>
      </w:r>
      <w:r>
        <w:rPr>
          <w:rFonts w:hint="eastAsia" w:ascii="仿宋_GB2312" w:hAnsi="宋体"/>
          <w:szCs w:val="32"/>
          <w:highlight w:val="none"/>
          <w:lang w:val="en-US" w:eastAsia="zh-CN"/>
        </w:rPr>
        <w:t>2023年部门预算无国有资本经营预算。</w:t>
      </w:r>
    </w:p>
    <w:p>
      <w:pPr>
        <w:tabs>
          <w:tab w:val="center" w:pos="4475"/>
        </w:tabs>
        <w:spacing w:line="600" w:lineRule="exact"/>
        <w:ind w:firstLine="645"/>
        <w:rPr>
          <w:rFonts w:hint="eastAsia" w:ascii="黑体" w:eastAsia="黑体"/>
          <w:color w:val="auto"/>
          <w:szCs w:val="32"/>
          <w:highlight w:val="none"/>
        </w:rPr>
      </w:pPr>
      <w:r>
        <w:rPr>
          <w:rFonts w:hint="eastAsia" w:ascii="黑体" w:eastAsia="黑体"/>
          <w:color w:val="auto"/>
          <w:szCs w:val="32"/>
          <w:highlight w:val="none"/>
          <w:lang w:eastAsia="zh-CN"/>
        </w:rPr>
        <w:t>十</w:t>
      </w:r>
      <w:r>
        <w:rPr>
          <w:rFonts w:hint="eastAsia" w:ascii="黑体" w:eastAsia="黑体"/>
          <w:color w:val="auto"/>
          <w:szCs w:val="32"/>
          <w:highlight w:val="none"/>
        </w:rPr>
        <w:t>、其他重要事项情况说明</w:t>
      </w:r>
    </w:p>
    <w:p>
      <w:pPr>
        <w:tabs>
          <w:tab w:val="center" w:pos="4475"/>
        </w:tabs>
        <w:spacing w:line="600" w:lineRule="exact"/>
        <w:ind w:firstLine="645"/>
        <w:rPr>
          <w:rFonts w:hint="eastAsia" w:ascii="黑体" w:eastAsia="黑体"/>
          <w:color w:val="auto"/>
          <w:szCs w:val="32"/>
          <w:highlight w:val="none"/>
        </w:rPr>
      </w:pPr>
      <w:r>
        <w:rPr>
          <w:rFonts w:hint="eastAsia" w:ascii="黑体" w:eastAsia="黑体"/>
          <w:color w:val="auto"/>
          <w:szCs w:val="32"/>
          <w:highlight w:val="none"/>
        </w:rPr>
        <w:t>（一）</w:t>
      </w:r>
      <w:r>
        <w:rPr>
          <w:rFonts w:hint="eastAsia" w:ascii="黑体" w:eastAsia="黑体"/>
          <w:color w:val="auto"/>
          <w:szCs w:val="32"/>
          <w:highlight w:val="none"/>
          <w:lang w:val="en-US" w:eastAsia="zh-CN"/>
        </w:rPr>
        <w:t>事业</w:t>
      </w:r>
      <w:r>
        <w:rPr>
          <w:rFonts w:hint="eastAsia" w:ascii="黑体" w:eastAsia="黑体"/>
          <w:color w:val="auto"/>
          <w:szCs w:val="32"/>
          <w:highlight w:val="none"/>
        </w:rPr>
        <w:t>运行经费安排情况说明</w:t>
      </w:r>
    </w:p>
    <w:p>
      <w:pPr>
        <w:spacing w:line="600" w:lineRule="exact"/>
        <w:ind w:firstLine="640" w:firstLineChars="200"/>
        <w:rPr>
          <w:rFonts w:hint="eastAsia" w:ascii="仿宋_GB2312" w:hAnsi="宋体" w:eastAsia="仿宋_GB2312"/>
          <w:szCs w:val="32"/>
          <w:highlight w:val="none"/>
          <w:lang w:val="en-US" w:eastAsia="zh-CN"/>
        </w:rPr>
      </w:pPr>
      <w:r>
        <w:rPr>
          <w:rFonts w:hint="eastAsia" w:ascii="仿宋_GB2312" w:hAnsi="宋体"/>
          <w:szCs w:val="32"/>
          <w:highlight w:val="none"/>
          <w:lang w:val="en-US" w:eastAsia="zh-CN"/>
        </w:rPr>
        <w:t>2023年我院事业运行经费安排1,652.94万元，同比增加322.50万元，增加24.24%。</w:t>
      </w:r>
      <w:r>
        <w:rPr>
          <w:rFonts w:hint="eastAsia" w:ascii="仿宋_GB2312" w:hAnsi="宋体"/>
          <w:szCs w:val="32"/>
          <w:highlight w:val="none"/>
          <w:lang w:val="en-US" w:eastAsia="zh-CN"/>
        </w:rPr>
        <w:t>增长主要原因是实有在校生人数核定较2022年增加，事业运行经费</w:t>
      </w:r>
      <w:r>
        <w:rPr>
          <w:rFonts w:hint="eastAsia" w:ascii="宋体" w:hAnsi="宋体"/>
          <w:szCs w:val="32"/>
          <w:highlight w:val="none"/>
        </w:rPr>
        <w:t>基数相应增加</w:t>
      </w:r>
      <w:r>
        <w:rPr>
          <w:rFonts w:hint="eastAsia" w:ascii="宋体" w:hAnsi="宋体"/>
          <w:szCs w:val="32"/>
          <w:highlight w:val="none"/>
          <w:lang w:eastAsia="zh-CN"/>
        </w:rPr>
        <w:t>。</w:t>
      </w:r>
    </w:p>
    <w:p>
      <w:pPr>
        <w:tabs>
          <w:tab w:val="center" w:pos="4475"/>
        </w:tabs>
        <w:spacing w:line="600" w:lineRule="exact"/>
        <w:ind w:firstLine="645"/>
        <w:rPr>
          <w:rFonts w:hint="eastAsia" w:ascii="黑体" w:hAnsi="Arial" w:eastAsia="黑体" w:cs="Arial"/>
          <w:kern w:val="0"/>
          <w:highlight w:val="none"/>
        </w:rPr>
      </w:pPr>
      <w:r>
        <w:rPr>
          <w:rFonts w:hint="eastAsia" w:ascii="黑体" w:eastAsia="黑体"/>
          <w:szCs w:val="32"/>
          <w:highlight w:val="none"/>
        </w:rPr>
        <w:t>（二）</w:t>
      </w:r>
      <w:r>
        <w:rPr>
          <w:rFonts w:hint="eastAsia" w:ascii="黑体" w:hAnsi="Arial" w:eastAsia="黑体" w:cs="Arial"/>
          <w:kern w:val="0"/>
          <w:highlight w:val="none"/>
        </w:rPr>
        <w:t>政府采购预算安排情况说明</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2023年政府采购预算4,124.11万元，同比增加1,344.39万元，增长48.36％；增长主要原因：一是学院规划发展建设伊岭校区，改造邕武校区学生宿舍楼，以完成中等职业学校办学条件达标建设，房屋建筑物购建项目投入增大；二是学院新设民用航空系，系部及专业建设投入增大。政府集中采购预算879.29万元，占政府采购预算21.32％，同比增加85.30万元，增长10.74％；分散采购预算3,244.82万元，占政府采购预算78.68％，同比增加1,259.09万元，增长63.41％。</w:t>
      </w:r>
    </w:p>
    <w:p>
      <w:pPr>
        <w:spacing w:line="60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货物采购769.19万元，占政府采购预算18.65％；工程采购1,540.22万元，占政府采购预算37.35％；服务采购1,814.70万元，占政府采购预算44.00％。</w:t>
      </w:r>
    </w:p>
    <w:p>
      <w:pPr>
        <w:tabs>
          <w:tab w:val="center" w:pos="4475"/>
        </w:tabs>
        <w:spacing w:line="600" w:lineRule="exact"/>
        <w:ind w:firstLine="645"/>
        <w:rPr>
          <w:rFonts w:hint="eastAsia" w:ascii="黑体" w:hAnsi="Arial" w:eastAsia="黑体" w:cs="Arial"/>
          <w:kern w:val="0"/>
          <w:highlight w:val="none"/>
        </w:rPr>
      </w:pPr>
      <w:r>
        <w:rPr>
          <w:rFonts w:hint="eastAsia" w:ascii="黑体" w:hAnsi="Arial" w:eastAsia="黑体" w:cs="Arial"/>
          <w:kern w:val="0"/>
          <w:highlight w:val="none"/>
        </w:rPr>
        <w:t>（三）国有资产占用情况说明</w:t>
      </w:r>
    </w:p>
    <w:p>
      <w:pPr>
        <w:spacing w:line="600" w:lineRule="exact"/>
        <w:ind w:firstLine="640"/>
        <w:rPr>
          <w:rFonts w:hint="eastAsia" w:ascii="宋体" w:hAnsi="宋体"/>
          <w:szCs w:val="32"/>
          <w:highlight w:val="none"/>
          <w:lang w:val="en-US" w:eastAsia="zh-CN"/>
        </w:rPr>
      </w:pPr>
      <w:r>
        <w:rPr>
          <w:rFonts w:hint="eastAsia" w:ascii="仿宋_GB2312" w:hAnsi="宋体"/>
          <w:szCs w:val="32"/>
          <w:highlight w:val="none"/>
          <w:lang w:val="en-US" w:eastAsia="zh-CN"/>
        </w:rPr>
        <w:t>我院2023年无国有资产占用相关情况。</w:t>
      </w:r>
    </w:p>
    <w:p>
      <w:pPr>
        <w:tabs>
          <w:tab w:val="center" w:pos="4475"/>
        </w:tabs>
        <w:spacing w:line="600" w:lineRule="exact"/>
        <w:ind w:firstLine="645"/>
        <w:rPr>
          <w:rFonts w:hint="eastAsia" w:ascii="黑体" w:hAnsi="Arial" w:eastAsia="黑体" w:cs="Arial"/>
          <w:kern w:val="0"/>
          <w:highlight w:val="none"/>
        </w:rPr>
      </w:pPr>
      <w:r>
        <w:rPr>
          <w:rFonts w:hint="eastAsia" w:ascii="黑体" w:hAnsi="Arial" w:eastAsia="黑体" w:cs="Arial"/>
          <w:kern w:val="0"/>
          <w:highlight w:val="none"/>
        </w:rPr>
        <w:t>（四）重点项目预算绩效目标等情况说明</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（详见预算公开10表）</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第三部分：名词解释</w:t>
      </w:r>
    </w:p>
    <w:p>
      <w:pPr>
        <w:spacing w:line="600" w:lineRule="exact"/>
        <w:ind w:firstLine="640"/>
        <w:rPr>
          <w:rFonts w:hint="eastAsia" w:ascii="仿宋_GB2312" w:hAnsi="宋体"/>
          <w:szCs w:val="32"/>
          <w:highlight w:val="none"/>
          <w:lang w:val="en-US" w:eastAsia="zh-CN"/>
        </w:rPr>
      </w:pPr>
      <w:r>
        <w:rPr>
          <w:rFonts w:hint="default" w:ascii="仿宋_GB2312" w:hAnsi="宋体"/>
          <w:szCs w:val="32"/>
          <w:highlight w:val="none"/>
          <w:lang w:val="en-US" w:eastAsia="zh-CN"/>
        </w:rPr>
        <w:t>一、收入科目</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（一）</w:t>
      </w:r>
      <w:r>
        <w:rPr>
          <w:rFonts w:hint="default" w:ascii="仿宋_GB2312" w:hAnsi="宋体"/>
          <w:szCs w:val="32"/>
          <w:highlight w:val="none"/>
          <w:lang w:val="en-US" w:eastAsia="zh-CN"/>
        </w:rPr>
        <w:t>财政拨款收入：指自治区财政部门当年拨付的资金。</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（二）</w:t>
      </w:r>
      <w:r>
        <w:rPr>
          <w:rFonts w:hint="default" w:ascii="仿宋_GB2312" w:hAnsi="宋体"/>
          <w:szCs w:val="32"/>
          <w:highlight w:val="none"/>
          <w:lang w:val="en-US" w:eastAsia="zh-CN"/>
        </w:rPr>
        <w:t>事业收入：指事业单位开展专业业务活动及辅助活动所取得的收入。</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（三）</w:t>
      </w:r>
      <w:r>
        <w:rPr>
          <w:rFonts w:hint="default" w:ascii="仿宋_GB2312" w:hAnsi="宋体"/>
          <w:szCs w:val="32"/>
          <w:highlight w:val="none"/>
          <w:lang w:val="en-US" w:eastAsia="zh-CN"/>
        </w:rPr>
        <w:t>经营收入：指事业单位在专业业务活动及其辅助活动之外开展非独立核算经营活动取得的收入。</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 xml:space="preserve">（四） </w:t>
      </w:r>
      <w:r>
        <w:rPr>
          <w:rFonts w:hint="default" w:ascii="仿宋_GB2312" w:hAnsi="宋体"/>
          <w:szCs w:val="32"/>
          <w:highlight w:val="none"/>
          <w:lang w:val="en-US" w:eastAsia="zh-CN"/>
        </w:rPr>
        <w:t>其他收入：指除上述“财政拨款收入”、“事业收入”、“经营收入”等以外的收入。</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（五）</w:t>
      </w:r>
      <w:r>
        <w:rPr>
          <w:rFonts w:hint="default" w:ascii="仿宋_GB2312" w:hAnsi="宋体"/>
          <w:szCs w:val="32"/>
          <w:highlight w:val="none"/>
          <w:lang w:val="en-US" w:eastAsia="zh-CN"/>
        </w:rPr>
        <w:t>年初结转和结余：指以前年度尚未完成、结转到本年 按有关规定继续使用的资金。</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（六）</w:t>
      </w:r>
      <w:r>
        <w:rPr>
          <w:rFonts w:hint="default" w:ascii="仿宋_GB2312" w:hAnsi="宋体"/>
          <w:szCs w:val="32"/>
          <w:highlight w:val="none"/>
          <w:lang w:val="en-US" w:eastAsia="zh-CN"/>
        </w:rPr>
        <w:t>结余分配：指事业单位按规定提取的职工福利基金、事业基金和缴纳的所得税，以及建设单位按规定应交回的基本建设竣工项目结余资金。</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（七）</w:t>
      </w:r>
      <w:r>
        <w:rPr>
          <w:rFonts w:hint="default" w:ascii="仿宋_GB2312" w:hAnsi="宋体"/>
          <w:szCs w:val="32"/>
          <w:highlight w:val="none"/>
          <w:lang w:val="en-US" w:eastAsia="zh-CN"/>
        </w:rPr>
        <w:t>年末结转和结余：指本年度或以前年度预算安排、因客观条件发生变化无法按原计划实施，需要延迟到以后年度按有关规定继续使用的资金。</w:t>
      </w:r>
    </w:p>
    <w:p>
      <w:pPr>
        <w:spacing w:line="600" w:lineRule="exact"/>
        <w:ind w:firstLine="640"/>
        <w:rPr>
          <w:rFonts w:hint="eastAsia" w:ascii="仿宋_GB2312" w:hAnsi="宋体"/>
          <w:szCs w:val="32"/>
          <w:highlight w:val="none"/>
          <w:lang w:val="en-US" w:eastAsia="zh-CN"/>
        </w:rPr>
      </w:pPr>
      <w:r>
        <w:rPr>
          <w:rFonts w:hint="default" w:ascii="仿宋_GB2312" w:hAnsi="宋体"/>
          <w:szCs w:val="32"/>
          <w:highlight w:val="none"/>
          <w:lang w:val="en-US" w:eastAsia="zh-CN"/>
        </w:rPr>
        <w:t>二、支出科目</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（一）</w:t>
      </w:r>
      <w:r>
        <w:rPr>
          <w:rFonts w:hint="default" w:ascii="仿宋_GB2312" w:hAnsi="宋体"/>
          <w:szCs w:val="32"/>
          <w:highlight w:val="none"/>
          <w:lang w:val="en-US" w:eastAsia="zh-CN"/>
        </w:rPr>
        <w:t>基本支出：指为保障机构正常运转、完成日常工作任务而发生的人员支出和公用支出。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（二）</w:t>
      </w:r>
      <w:r>
        <w:rPr>
          <w:rFonts w:hint="default" w:ascii="仿宋_GB2312" w:hAnsi="宋体"/>
          <w:szCs w:val="32"/>
          <w:highlight w:val="none"/>
          <w:lang w:val="en-US" w:eastAsia="zh-CN"/>
        </w:rPr>
        <w:t>项目支出：指在基本支出之外为完成特定行政任务和事业发展目标所发生的支出。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（三）</w:t>
      </w:r>
      <w:r>
        <w:rPr>
          <w:rFonts w:hint="default" w:ascii="仿宋_GB2312" w:hAnsi="宋体"/>
          <w:szCs w:val="32"/>
          <w:highlight w:val="none"/>
          <w:lang w:val="en-US" w:eastAsia="zh-CN"/>
        </w:rPr>
        <w:t>工资福利支出：反映单位开支的在职职工和编制外长期聘用人员的各类劳动报酬，以及为上述人员缴纳的各项社会保险费等。</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（四）</w:t>
      </w:r>
      <w:r>
        <w:rPr>
          <w:rFonts w:hint="default" w:ascii="仿宋_GB2312" w:hAnsi="宋体"/>
          <w:szCs w:val="32"/>
          <w:highlight w:val="none"/>
          <w:lang w:val="en-US" w:eastAsia="zh-CN"/>
        </w:rPr>
        <w:t>商品服务支出：反映单位购买商品和服务的支出，不包括用于购置固定资产、战略性和应急性物资储备等资本性支出。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（五）</w:t>
      </w:r>
      <w:r>
        <w:rPr>
          <w:rFonts w:hint="default" w:ascii="仿宋_GB2312" w:hAnsi="宋体"/>
          <w:szCs w:val="32"/>
          <w:highlight w:val="none"/>
          <w:lang w:val="en-US" w:eastAsia="zh-CN"/>
        </w:rPr>
        <w:t>对个人和家庭的补助：反映政府用于对个人和家庭的补助支出。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（六）</w:t>
      </w:r>
      <w:r>
        <w:rPr>
          <w:rFonts w:hint="default" w:ascii="仿宋_GB2312" w:hAnsi="宋体"/>
          <w:szCs w:val="32"/>
          <w:highlight w:val="none"/>
          <w:lang w:val="en-US" w:eastAsia="zh-CN"/>
        </w:rPr>
        <w:t>教育支出（类）职业教育（款）：</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1、</w:t>
      </w:r>
      <w:r>
        <w:rPr>
          <w:rFonts w:hint="default" w:ascii="仿宋_GB2312" w:hAnsi="宋体"/>
          <w:szCs w:val="32"/>
          <w:highlight w:val="none"/>
          <w:lang w:val="en-US" w:eastAsia="zh-CN"/>
        </w:rPr>
        <w:t>中等职业教育（项）：反映各部门（不含人力资源社会保障部门）举办的中等职业学校支出。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2、</w:t>
      </w:r>
      <w:r>
        <w:rPr>
          <w:rFonts w:hint="default" w:ascii="仿宋_GB2312" w:hAnsi="宋体"/>
          <w:szCs w:val="32"/>
          <w:highlight w:val="none"/>
          <w:lang w:val="en-US" w:eastAsia="zh-CN"/>
        </w:rPr>
        <w:t>技校教育（项）：反映交通部门举办的技工学校支出。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 xml:space="preserve">（七） </w:t>
      </w:r>
      <w:r>
        <w:rPr>
          <w:rFonts w:hint="default" w:ascii="仿宋_GB2312" w:hAnsi="宋体"/>
          <w:szCs w:val="32"/>
          <w:highlight w:val="none"/>
          <w:lang w:val="en-US" w:eastAsia="zh-CN"/>
        </w:rPr>
        <w:t>社会保障和就业支出（类）行政事业单位养老支出（款）：</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1、</w:t>
      </w:r>
      <w:r>
        <w:rPr>
          <w:rFonts w:hint="default" w:ascii="仿宋_GB2312" w:hAnsi="宋体"/>
          <w:szCs w:val="32"/>
          <w:highlight w:val="none"/>
          <w:lang w:val="en-US" w:eastAsia="zh-CN"/>
        </w:rPr>
        <w:t>事业单位离退休（项）：反映事业单位开支的离退休经费。</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2、</w:t>
      </w:r>
      <w:r>
        <w:rPr>
          <w:rFonts w:hint="default" w:ascii="仿宋_GB2312" w:hAnsi="宋体"/>
          <w:szCs w:val="32"/>
          <w:highlight w:val="none"/>
          <w:lang w:val="en-US" w:eastAsia="zh-CN"/>
        </w:rPr>
        <w:t>机关事业单位基本养老保险缴费支出（项）：反映机关事业单位实施养老保险制度由单位缴纳的基本养老保险费支出。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3、</w:t>
      </w:r>
      <w:r>
        <w:rPr>
          <w:rFonts w:hint="default" w:ascii="仿宋_GB2312" w:hAnsi="宋体"/>
          <w:szCs w:val="32"/>
          <w:highlight w:val="none"/>
          <w:lang w:val="en-US" w:eastAsia="zh-CN"/>
        </w:rPr>
        <w:t>机关事业单位职业年金缴费支出（项）：反映机关事业单位实施养老保险制度由单位实际缴纳的职业年金支出。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（八）</w:t>
      </w:r>
      <w:r>
        <w:rPr>
          <w:rFonts w:hint="default" w:ascii="仿宋_GB2312" w:hAnsi="宋体"/>
          <w:szCs w:val="32"/>
          <w:highlight w:val="none"/>
          <w:lang w:val="en-US" w:eastAsia="zh-CN"/>
        </w:rPr>
        <w:t>社会保障和就业支出（类）其他社会保障和就业支出（款）：</w:t>
      </w:r>
    </w:p>
    <w:p>
      <w:pPr>
        <w:spacing w:line="600" w:lineRule="exact"/>
        <w:ind w:firstLine="640"/>
        <w:rPr>
          <w:rFonts w:hint="eastAsia" w:ascii="仿宋_GB2312" w:hAnsi="宋体"/>
          <w:szCs w:val="32"/>
          <w:highlight w:val="none"/>
          <w:lang w:val="en-US" w:eastAsia="zh-CN"/>
        </w:rPr>
      </w:pPr>
      <w:r>
        <w:rPr>
          <w:rFonts w:hint="default" w:ascii="仿宋_GB2312" w:hAnsi="宋体"/>
          <w:szCs w:val="32"/>
          <w:highlight w:val="none"/>
          <w:lang w:val="en-US" w:eastAsia="zh-CN"/>
        </w:rPr>
        <w:t>其他社会保障和就业支出（项）：反映除上述项目以外其他用于社会保障和就业方面的支出。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（九）</w:t>
      </w:r>
      <w:r>
        <w:rPr>
          <w:rFonts w:hint="default" w:ascii="仿宋_GB2312" w:hAnsi="宋体"/>
          <w:szCs w:val="32"/>
          <w:highlight w:val="none"/>
          <w:lang w:val="en-US" w:eastAsia="zh-CN"/>
        </w:rPr>
        <w:t>卫生健康支出（类）行政事业单位医疗（款）：</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1、</w:t>
      </w:r>
      <w:r>
        <w:rPr>
          <w:rFonts w:hint="default" w:ascii="仿宋_GB2312" w:hAnsi="宋体"/>
          <w:szCs w:val="32"/>
          <w:highlight w:val="none"/>
          <w:lang w:val="en-US" w:eastAsia="zh-CN"/>
        </w:rPr>
        <w:t>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2、</w:t>
      </w:r>
      <w:r>
        <w:rPr>
          <w:rFonts w:hint="default" w:ascii="仿宋_GB2312" w:hAnsi="宋体"/>
          <w:szCs w:val="32"/>
          <w:highlight w:val="none"/>
          <w:lang w:val="en-US" w:eastAsia="zh-CN"/>
        </w:rPr>
        <w:t>事业单位医疗（项）：反映财政部门集中安排的事业单位基本医疗保险缴费经费，未参加医疗保险的事业单位的公费医疗经费，按国家规定享受离休人员待遇的医疗经费。</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3、</w:t>
      </w:r>
      <w:r>
        <w:rPr>
          <w:rFonts w:hint="default" w:ascii="仿宋_GB2312" w:hAnsi="宋体"/>
          <w:szCs w:val="32"/>
          <w:highlight w:val="none"/>
          <w:lang w:val="en-US" w:eastAsia="zh-CN"/>
        </w:rPr>
        <w:t>公务员医疗补助（项）：反映财政部门安排的公务员医疗补助经费</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（十）</w:t>
      </w:r>
      <w:r>
        <w:rPr>
          <w:rFonts w:hint="default" w:ascii="仿宋_GB2312" w:hAnsi="宋体"/>
          <w:szCs w:val="32"/>
          <w:highlight w:val="none"/>
          <w:lang w:val="en-US" w:eastAsia="zh-CN"/>
        </w:rPr>
        <w:t>住房保障支出（类）住房改革支出（款）：</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1、</w:t>
      </w:r>
      <w:r>
        <w:rPr>
          <w:rFonts w:hint="default" w:ascii="仿宋_GB2312" w:hAnsi="宋体"/>
          <w:szCs w:val="32"/>
          <w:highlight w:val="none"/>
          <w:lang w:val="en-US" w:eastAsia="zh-CN"/>
        </w:rPr>
        <w:t>住房公积金（项）：反映行政事业单位按人力资源和社会保障部、财政部规定的基本工资和津贴补贴以及规定比例为职工缴纳的住房公积金。</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（十一）</w:t>
      </w:r>
      <w:r>
        <w:rPr>
          <w:rFonts w:hint="default" w:ascii="仿宋_GB2312" w:hAnsi="宋体"/>
          <w:szCs w:val="32"/>
          <w:highlight w:val="none"/>
          <w:lang w:val="en-US" w:eastAsia="zh-CN"/>
        </w:rPr>
        <w:t xml:space="preserve"> “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rPr>
          <w:rFonts w:hint="eastAsia" w:ascii="仿宋_GB2312" w:hAnsi="宋体"/>
          <w:szCs w:val="32"/>
          <w:highlight w:val="none"/>
          <w:lang w:val="en-US" w:eastAsia="zh-CN"/>
        </w:rPr>
      </w:pPr>
      <w:r>
        <w:rPr>
          <w:rFonts w:hint="eastAsia" w:ascii="仿宋_GB2312" w:hAnsi="宋体"/>
          <w:szCs w:val="32"/>
          <w:highlight w:val="none"/>
          <w:lang w:val="en-US" w:eastAsia="zh-CN"/>
        </w:rPr>
        <w:t>（十二）事业</w:t>
      </w:r>
      <w:r>
        <w:rPr>
          <w:rFonts w:hint="default" w:ascii="仿宋_GB2312" w:hAnsi="宋体"/>
          <w:szCs w:val="32"/>
          <w:highlight w:val="none"/>
          <w:lang w:val="en-US" w:eastAsia="zh-CN"/>
        </w:rPr>
        <w:t>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第四部分：广西交通技师学</w:t>
      </w:r>
      <w:r>
        <w:rPr>
          <w:rFonts w:hint="eastAsia" w:ascii="黑体" w:eastAsia="黑体"/>
          <w:szCs w:val="32"/>
          <w:highlight w:val="none"/>
        </w:rPr>
        <w:t>院202</w:t>
      </w:r>
      <w:r>
        <w:rPr>
          <w:rFonts w:hint="eastAsia" w:ascii="黑体" w:eastAsia="黑体"/>
          <w:szCs w:val="32"/>
          <w:highlight w:val="none"/>
          <w:lang w:val="en-US" w:eastAsia="zh-CN"/>
        </w:rPr>
        <w:t>3</w:t>
      </w:r>
      <w:r>
        <w:rPr>
          <w:rFonts w:hint="eastAsia" w:ascii="黑体" w:eastAsia="黑体"/>
          <w:szCs w:val="32"/>
          <w:highlight w:val="none"/>
        </w:rPr>
        <w:t>年</w:t>
      </w:r>
      <w:r>
        <w:rPr>
          <w:rFonts w:hint="eastAsia" w:ascii="黑体" w:eastAsia="黑体"/>
          <w:szCs w:val="32"/>
          <w:highlight w:val="none"/>
          <w:lang w:eastAsia="zh-CN"/>
        </w:rPr>
        <w:t>部门</w:t>
      </w:r>
      <w:r>
        <w:rPr>
          <w:rFonts w:hint="eastAsia" w:ascii="黑体" w:eastAsia="黑体"/>
          <w:szCs w:val="32"/>
          <w:highlight w:val="none"/>
        </w:rPr>
        <w:t>预算报表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一、部门收支总体情况表</w:t>
      </w:r>
      <w:r>
        <w:rPr>
          <w:rFonts w:hint="eastAsia" w:ascii="仿宋_GB2312" w:hAnsi="宋体"/>
          <w:szCs w:val="32"/>
          <w:highlight w:val="none"/>
        </w:rPr>
        <w:t>（预算公开01表）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二、部门收入总体情况表</w:t>
      </w:r>
      <w:r>
        <w:rPr>
          <w:rFonts w:hint="eastAsia" w:ascii="仿宋_GB2312" w:hAnsi="宋体"/>
          <w:szCs w:val="32"/>
          <w:highlight w:val="none"/>
        </w:rPr>
        <w:t>（预算公开02表）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三、部门支出总体情况表</w:t>
      </w:r>
      <w:r>
        <w:rPr>
          <w:rFonts w:hint="eastAsia" w:ascii="仿宋_GB2312" w:hAnsi="宋体"/>
          <w:szCs w:val="32"/>
          <w:highlight w:val="none"/>
        </w:rPr>
        <w:t>（预算公开03表）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四、财政拨款收支总体情况表</w:t>
      </w:r>
      <w:r>
        <w:rPr>
          <w:rFonts w:hint="eastAsia" w:ascii="仿宋_GB2312" w:hAnsi="宋体"/>
          <w:szCs w:val="32"/>
          <w:highlight w:val="none"/>
        </w:rPr>
        <w:t>（预算公开04表）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五、一般公共预算支出情况表</w:t>
      </w:r>
      <w:r>
        <w:rPr>
          <w:rFonts w:hint="eastAsia" w:ascii="仿宋_GB2312" w:hAnsi="宋体"/>
          <w:szCs w:val="32"/>
          <w:highlight w:val="none"/>
        </w:rPr>
        <w:t>（预算公开05表）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六、一般公共预算基本支出情况表</w:t>
      </w:r>
      <w:r>
        <w:rPr>
          <w:rFonts w:hint="eastAsia" w:ascii="仿宋_GB2312" w:hAnsi="宋体"/>
          <w:szCs w:val="32"/>
          <w:highlight w:val="none"/>
        </w:rPr>
        <w:t>（预算公开06表）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七、一般公共预算“三公”经费、会议费和培训费支出情况表</w:t>
      </w:r>
      <w:r>
        <w:rPr>
          <w:rFonts w:hint="eastAsia" w:ascii="仿宋_GB2312" w:hAnsi="宋体"/>
          <w:szCs w:val="32"/>
          <w:highlight w:val="none"/>
        </w:rPr>
        <w:t>（预算公开07表）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八、政府性基金预算支出情况表</w:t>
      </w:r>
      <w:r>
        <w:rPr>
          <w:rFonts w:hint="eastAsia" w:ascii="仿宋_GB2312" w:hAnsi="宋体"/>
          <w:szCs w:val="32"/>
          <w:highlight w:val="none"/>
        </w:rPr>
        <w:t>（预算公开08表）</w:t>
      </w:r>
    </w:p>
    <w:p>
      <w:pPr>
        <w:tabs>
          <w:tab w:val="center" w:pos="4475"/>
        </w:tabs>
        <w:spacing w:line="600" w:lineRule="exact"/>
        <w:ind w:firstLine="645"/>
        <w:rPr>
          <w:rFonts w:hint="eastAsia" w:ascii="仿宋_GB2312" w:hAnsi="宋体"/>
          <w:szCs w:val="32"/>
          <w:highlight w:val="none"/>
          <w:lang w:val="en-US" w:eastAsia="zh-CN"/>
        </w:rPr>
      </w:pPr>
      <w:r>
        <w:rPr>
          <w:rFonts w:hint="default" w:ascii="仿宋_GB2312" w:hAnsi="宋体"/>
          <w:szCs w:val="32"/>
          <w:highlight w:val="none"/>
          <w:lang w:val="en-US" w:eastAsia="zh-CN"/>
        </w:rPr>
        <w:t>九、</w:t>
      </w:r>
      <w:r>
        <w:rPr>
          <w:rFonts w:hint="eastAsia" w:ascii="仿宋_GB2312" w:hAnsi="宋体"/>
          <w:szCs w:val="32"/>
          <w:highlight w:val="none"/>
          <w:lang w:val="en-US" w:eastAsia="zh-CN"/>
        </w:rPr>
        <w:t>国有资本经营预算支出情况表</w:t>
      </w:r>
      <w:r>
        <w:rPr>
          <w:rFonts w:hint="eastAsia" w:ascii="仿宋_GB2312" w:hAnsi="宋体"/>
          <w:szCs w:val="32"/>
          <w:highlight w:val="none"/>
        </w:rPr>
        <w:t>（预算公开09表）</w:t>
      </w:r>
    </w:p>
    <w:p>
      <w:pPr>
        <w:tabs>
          <w:tab w:val="center" w:pos="4475"/>
        </w:tabs>
        <w:spacing w:line="600" w:lineRule="exact"/>
        <w:ind w:firstLine="645"/>
        <w:rPr>
          <w:rFonts w:hint="default" w:ascii="仿宋_GB2312" w:hAnsi="宋体"/>
          <w:szCs w:val="32"/>
          <w:highlight w:val="none"/>
          <w:lang w:val="en-US" w:eastAsia="zh-CN"/>
        </w:rPr>
      </w:pPr>
      <w:r>
        <w:rPr>
          <w:rFonts w:hint="eastAsia" w:ascii="仿宋_GB2312" w:hAnsi="宋体"/>
          <w:szCs w:val="32"/>
          <w:highlight w:val="none"/>
          <w:lang w:val="en-US" w:eastAsia="zh-CN"/>
        </w:rPr>
        <w:t>十、2023年度预算项目绩效目标公开表</w:t>
      </w:r>
      <w:r>
        <w:rPr>
          <w:rFonts w:hint="eastAsia" w:ascii="仿宋_GB2312" w:hAnsi="宋体"/>
          <w:szCs w:val="32"/>
          <w:highlight w:val="none"/>
        </w:rPr>
        <w:t>（预算公开10表）</w:t>
      </w:r>
    </w:p>
    <w:p>
      <w:pPr>
        <w:tabs>
          <w:tab w:val="center" w:pos="4475"/>
        </w:tabs>
        <w:spacing w:line="600" w:lineRule="exact"/>
        <w:ind w:firstLine="645"/>
        <w:rPr>
          <w:rFonts w:hint="default" w:ascii="仿宋_GB2312" w:hAnsi="宋体"/>
          <w:szCs w:val="32"/>
          <w:highlight w:val="none"/>
          <w:lang w:val="en-US" w:eastAsia="zh-CN"/>
        </w:rPr>
      </w:pPr>
      <w:r>
        <w:rPr>
          <w:rFonts w:hint="default" w:ascii="仿宋_GB2312" w:hAnsi="宋体"/>
          <w:szCs w:val="32"/>
          <w:highlight w:val="none"/>
          <w:lang w:val="en-US" w:eastAsia="zh-CN"/>
        </w:rPr>
        <w:t>上述报表详见附件。</w:t>
      </w:r>
    </w:p>
    <w:bookmarkEnd w:id="0"/>
    <w:sectPr>
      <w:footerReference r:id="rId3" w:type="default"/>
      <w:footerReference r:id="rId4" w:type="even"/>
      <w:pgSz w:w="11906" w:h="16838"/>
      <w:pgMar w:top="1440" w:right="1440" w:bottom="1440" w:left="1440" w:header="851" w:footer="992" w:gutter="0"/>
      <w:pgNumType w:fmt="numberInDash"/>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eastAsia="宋体"/>
        <w:sz w:val="28"/>
      </w:rPr>
    </w:pPr>
    <w:r>
      <w:rPr>
        <w:rStyle w:val="11"/>
        <w:rFonts w:eastAsia="宋体"/>
        <w:sz w:val="28"/>
      </w:rPr>
      <w:fldChar w:fldCharType="begin"/>
    </w:r>
    <w:r>
      <w:rPr>
        <w:rStyle w:val="11"/>
        <w:rFonts w:eastAsia="宋体"/>
        <w:sz w:val="28"/>
      </w:rPr>
      <w:instrText xml:space="preserve">PAGE  </w:instrText>
    </w:r>
    <w:r>
      <w:rPr>
        <w:rStyle w:val="11"/>
        <w:rFonts w:eastAsia="宋体"/>
        <w:sz w:val="28"/>
      </w:rPr>
      <w:fldChar w:fldCharType="separate"/>
    </w:r>
    <w:r>
      <w:rPr>
        <w:rStyle w:val="11"/>
        <w:rFonts w:eastAsia="宋体"/>
        <w:sz w:val="28"/>
      </w:rPr>
      <w:t>- 6 -</w:t>
    </w:r>
    <w:r>
      <w:rPr>
        <w:rStyle w:val="11"/>
        <w:rFonts w:eastAsia="宋体"/>
        <w:sz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TE5ZmM0ZmM4MTM4N2U3NTViNjg2ZDAwOTNlZmIifQ=="/>
  </w:docVars>
  <w:rsids>
    <w:rsidRoot w:val="4BA92586"/>
    <w:rsid w:val="261A212A"/>
    <w:rsid w:val="2BDA2368"/>
    <w:rsid w:val="3AFE7FC4"/>
    <w:rsid w:val="47C52A7F"/>
    <w:rsid w:val="4BA92586"/>
    <w:rsid w:val="53DD1C79"/>
    <w:rsid w:val="5E4C6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5304</Words>
  <Characters>6205</Characters>
  <Lines>0</Lines>
  <Paragraphs>0</Paragraphs>
  <TotalTime>16</TotalTime>
  <ScaleCrop>false</ScaleCrop>
  <LinksUpToDate>false</LinksUpToDate>
  <CharactersWithSpaces>6211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2023-02-09T02:02:00Z</dcterms:created>
  <dc:creator>tttttapi</dc:creator>
  <cp:lastModifiedBy>财务科</cp:lastModifiedBy>
  <dcterms:modified xsi:type="dcterms:W3CDTF">2023-02-19T10:05:55Z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1F0FD74AB4F340E38911307867E19153</vt:lpwstr>
  </property>
</Properties>
</file>