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未成年人保护法"/>
      <w:bookmarkEnd w:id="0"/>
      <w:r>
        <w:rPr>
          <w:rFonts w:ascii="方正小标宋简体" w:eastAsia="方正小标宋简体" w:hAnsi="方正小标宋简体" w:cs="方正小标宋简体" w:hint="eastAsia"/>
          <w:color w:val="333333"/>
          <w:sz w:val="44"/>
          <w:szCs w:val="44"/>
          <w:shd w:val="clear" w:color="auto" w:fill="FFFFFF"/>
        </w:rPr>
        <w:t>中华人民共和国未成年人保护法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（1991年9月4日第七届全国人民代表大会常务委员会第二十一次会议通过　2006年12月29日第十届全国人民代表大会常务委员会第二十五次会议第一次修订　根据2012年10月26日第十一届全国人民代表大会常务委员会第二十九次会议《关于修改〈中华人民共和国未成年人保护法〉的决定》第一次修正　2020年10月17日第十三届全国人民代表大会常务委员会第二十二次会议第二次修订　根据2024年4月26日第十四届全国人民代表大会常务委员会第九次会议《关于修改〈中华人民共和国农业技术推广法〉、〈中华人民共和国未成年人保护法〉、〈中华人民共和国生物安全法〉的决定》第二次修正）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学校保护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网络保护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政府保护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司法保护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未成年人身心健康，保障未成年人合法权益，促进未成年人德智体美劳全面发展，培养有理想、有道德、有文化、有纪律的社会主义建设者和接班人，培养担当民族复兴大任的时代新人，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本法所称未成年人是指未满十八周岁的公民。</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国家保障未成年人的生存权、发展权、受保护权、参与权等权利。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未成年人依法平等地享有各项权利，不因本人及其父母或者其他监护人的民族、种族、性别、户籍、职业、宗教信仰、教育程度、家庭状况、身心健康状况等受到歧视。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保护未成年人，应当坚持最有利于未成年人的原则。处理涉及未成年人事项，应当符合下列要求：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（一）给予未成年人特殊、优先保护；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（二）尊重未成年人人格尊严；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（三）保护未成年人隐私权和个人信息；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（四）适应未成年人身心健康发展的规律和特点；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（五）听取未成年人的意见；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（六）保护与教育相结合。</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保护未成年人，是国家机关、武装力量、政党、人民团体、企业事业单位、社会组织、城乡基层群众性自治组织、未成年人的监护人以及其他成年人的共同责任。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国家、社会、学校和家庭应当教育和帮助未成年人维护自身合法权益，增强自我保护的意识和能力。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未成年人的父母或者其他监护人依法对未成年人承担监护职责。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国家采取措施指导、支持、帮助和监督未成年人的父母或者其他监护人履行监护职责。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县级以上人民政府应当将未成年人保护工作纳入国民经济和社会发展规划，相关经费纳入本级政府预算。</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各级人民政府应当重视和加强未成年人保护工作。县级以上人民政府负责妇女儿童工作的机构，负责未成年人保护工作的组织、协调、指导、督促，有关部门在各自职责范围内做好相关工作。</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任何组织或者个人发现不利于未成年人身心健康或者侵犯未成年人合法权益的情形，都有权劝阻、制止或者向公安、民政、教育等有关部门提出检举、控告。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国家机关、居民委员会、村民委员会、密切接触未成年人的单位及其工作人员，在工作中发现未成年人身心健康受到侵害、疑似受到侵害或者面临其他危险情形的，应当立即向公安、民政、教育等有关部门报告。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有关部门接到涉及未成年人的检举、控告或者报告，应当依法及时受理、处置，并以适当方式将处理结果告知相关单位和人员。</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国家鼓励和支持未成年人保护方面的科学研究，建设相关学科、设置相关专业，加强人才培养。</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国家建立健全未成年人统计调查制度，开展未成年人健康、受教育等状况的统计、调查和分析，发布未成年人保护的有关信息。</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国家对保护未成年人有显著成绩的组织和个人给予表彰和奖励。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家庭保护"/>
      <w:bookmarkEnd w:id="18"/>
      <w:r>
        <w:rPr>
          <w:rFonts w:ascii="Times New Roman" w:eastAsia="黑体" w:hAnsi="Times New Roman" w:cs="黑体" w:hint="eastAsia"/>
          <w:szCs w:val="32"/>
        </w:rPr>
        <w:t>第二章　家庭保护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未成年人的父母或者其他监护人应当学习家庭教育知识，接受家庭教育指导，创造良好、和睦、文明的家庭环境。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共同生活的其他成年家庭成员应当协助未成年人的父母或者其他监护人抚养、教育和保护未成年人。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未成年人的父母或者其他监护人应当履行下列监护职责：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（一）为未成年人提供生活、健康、安全等方面的保障；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（二）关注未成年人的生理、心理状况和情感需求；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（三）教育和引导未成年人遵纪守法、勤俭节约，养成良好的思想品德和行为习惯；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（四）对未成年人进行安全教育，提高未成年人的自我保护意识和能力；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（五）尊重未成年人受教育的权利，保障适龄未成年人依法接受并完成义务教育；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（六）保障未成年人休息、娱乐和体育锻炼的时间，引导未成年人进行有益身心健康的活动；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（七）妥善管理和保护未成年人的财产；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（八）依法代理未成年人实施民事法律行为；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（九）预防和制止未成年人的不良行为和违法犯罪行为，并进行合理管教；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（十）其他应当履行的监护职责。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（一）虐待、遗弃、非法送养未成年人或者对未成年人实施家庭暴力；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（二）放任、教唆或者利用未成年人实施违法犯罪行为；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（三）放任、唆使未成年人参与邪教、迷信活动或者接受恐怖主义、分裂主义、极端主义等侵害；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（四）放任、唆使未成年人吸烟（含电子烟，下同）、饮酒、赌博、流浪乞讨或者欺凌他人；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（五）放任或者迫使应当接受义务教育的未成年人失学、辍学；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（六）放任未成年人沉迷网络，接触危害或者可能影响其身心健康的图书、报刊、电影、广播电视节目、音像制品、电子出版物和网络信息等；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（七）放任未成年人进入营业性娱乐场所、酒吧、互联网上网服务营业场所等不适宜未成年人活动的场所；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（八）允许或者迫使未成年人从事国家规定以外的劳动；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（九）允许、迫使未成年人结婚或者为未成年人订立婚约；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（十）违法处分、侵吞未成年人的财产或者利用未成年人牟取不正当利益；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（十一）其他侵犯未成年人身心健康、财产权益或者不依法履行未成年人保护义务的行为。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未成年人的父母或者其他监护人应当根据未成年人的年龄和智力发展状况，在作出与未成年人权益有关的决定前，听取未成年人的意见，充分考虑其真实意愿。</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未成年人的父母或者其他监护人发现未成年人身心健康受到侵害、疑似受到侵害或者其他合法权益受到侵犯的，应当及时了解情况并采取保护措施；情况严重的，应当立即向公安、民政、教育等部门报告。</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未成年人的父母或者其他监护人不得使未满十六周岁的未成年人脱离监护单独生活。</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未成年人的父母或者其他监护人因外出务工等原因在一定期限内不能完全履行监护职责的，应当委托具有照护能力的完全民事行为能力人代为照护；无正当理由的，不得委托他人代为照护。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未成年人的父母或者其他监护人在确定被委托人时，应当综合考虑其道德品质、家庭状况、身心健康状况、与未成年人生活情感上的联系等情况，并听取有表达意愿能力未成年人的意见。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具有下列情形之一的，不得作为被委托人：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（一）曾实施性侵害、虐待、遗弃、拐卖、暴力伤害等违法犯罪行为；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（二）有吸毒、酗酒、赌博等恶习；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（三）曾拒不履行或者长期怠于履行监护、照护职责；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（四）其他不适宜担任被委托人的情形。</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未成年人的父母或者其他监护人接到被委托人、居民委员会、村民委员会、学校、幼儿园等关于未成年人心理、行为异常的通知后，应当及时采取干预措施。</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未成年人的父母离婚时，应当妥善处理未成年子女的抚养、教育、探望、财产等事宜，听取有表达意愿能力未成年人的意见。不得以抢夺、藏匿未成年子女等方式争夺抚养权。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学校保护"/>
      <w:bookmarkEnd w:id="29"/>
      <w:r>
        <w:rPr>
          <w:rFonts w:ascii="Times New Roman" w:eastAsia="黑体" w:hAnsi="Times New Roman" w:cs="黑体" w:hint="eastAsia"/>
          <w:szCs w:val="32"/>
        </w:rPr>
        <w:t>第三章　学校保护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学校应当全面贯彻国家教育方针，坚持立德树人，实施素质教育，提高教育质量，注重培养未成年学生认知能力、合作能力、创新能力和实践能力，促进未成年学生全面发展。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学校应当建立未成年学生保护工作制度，健全学生行为规范，培养未成年学生遵纪守法的良好行为习惯。</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幼儿园应当做好保育、教育工作，遵循幼儿身心发展规律，实施启蒙教育，促进幼儿在体质、智力、品德等方面和谐发展。</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学校、幼儿园的教职员工应当尊重未成年人人格尊严，不得对未成年人实施体罚、变相体罚或者其他侮辱人格尊严的行为。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学校应当保障未成年学生受教育的权利，不得违反国家规定开除、变相开除未成年学生。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学校应当对尚未完成义务教育的辍学未成年学生进行登记并劝返复学；劝返无效的，应当及时向教育行政部门书面报告。</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学校应当关心、爱护未成年学生，不得因家庭、身体、心理、学习能力等情况歧视学生。对家庭困难、身心有障碍的学生，应当提供关爱；对行为异常、学习有困难的学生，应当耐心帮助。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学校应当配合政府有关部门建立留守未成年学生、困境未成年学生的信息档案，开展关爱帮扶工作。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学校应当根据未成年学生身心发展特点，进行社会生活指导、心理健康辅导、青春期教育和生命教育。</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学校应当组织未成年学生参加与其年龄相适应的日常生活劳动、生产劳动和服务性劳动，帮助未成年学生掌握必要的劳动知识和技能，养成良好的劳动习惯。</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学校、幼儿园应当开展勤俭节约、反对浪费、珍惜粮食、文明饮食等宣传教育活动，帮助未成年人树立浪费可耻、节约为荣的意识，养成文明健康、绿色环保的生活习惯。</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学校应当与未成年学生的父母或者其他监护人互相配合，合理安排未成年学生的学习时间，保障其休息、娱乐和体育锻炼的时间。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学校不得占用国家法定节假日、休息日及寒暑假期，组织义务教育阶段的未成年学生集体补课，加重其学习负担。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幼儿园、校外培训机构不得对学龄前未成年人进行小学课程教育。</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学校、幼儿园应当提供必要的卫生保健条件，协助卫生健康部门做好在校、在园未成年人的卫生保健工作。</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学校、幼儿园应当建立安全管理制度，对未成年人进行安全教育，完善安保设施、配备安保人员，保障未成年人在校、在园期间的人身和财产安全。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学校、幼儿园不得在危及未成年人人身安全、身心健康的校舍和其他设施、场所中进行教育教学活动。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学校、幼儿园安排未成年人参加文化娱乐、社会实践等集体活动，应当保护未成年人的身心健康，防止发生人身伤害事故。</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学校、幼儿园应当根据需要，制定应对自然灾害、事故灾难、公共卫生事件等突发事件和意外伤害的预案，配备相应设施并定期进行必要的演练。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未成年人在校内、园内或者本校、本园组织的校外、园外活动中发生人身伤害事故的，学校、幼儿园应当立即救护，妥善处理，及时通知未成年人的父母或者其他监护人，并向有关部门报告。</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学校、幼儿园不得安排未成年人参加商业性活动，不得向未成年人及其父母或者其他监护人推销或者要求其购买指定的商品和服务。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学校、幼儿园不得与校外培训机构合作为未成年人提供有偿课程辅导。</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学校应当建立学生欺凌防控工作制度，对教职员工、学生等开展防治学生欺凌的教育和培训。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对实施欺凌的未成年学生，学校应当根据欺凌行为的性质和程度，依法加强管教。对严重的欺凌行为，学校不得隐瞒，应当及时向公安机关、教育行政部门报告，并配合相关部门依法处理。</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学校、幼儿园应当建立预防性侵害、性骚扰未成年人工作制度。对性侵害、性骚扰未成年人等违法犯罪行为，学校、幼儿园不得隐瞒，应当及时向公安机关、教育行政部门报告，并配合相关部门依法处理。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学校、幼儿园应当对未成年人开展适合其年龄的性教育，提高未成年人防范性侵害、性骚扰的自我保护意识和能力。对遭受性侵害、性骚扰的未成年人，学校、幼儿园应当及时采取相关的保护措施。</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婴幼儿照护服务机构、早期教育服务机构、校外培训机构、校外托管机构等应当参照本章有关规定，根据不同年龄阶段未成年人的成长特点和规律，做好未成年人保护工作。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四章 社会保护"/>
      <w:bookmarkEnd w:id="47"/>
      <w:r>
        <w:rPr>
          <w:rFonts w:ascii="Times New Roman" w:eastAsia="黑体" w:hAnsi="Times New Roman" w:cs="黑体" w:hint="eastAsia"/>
          <w:szCs w:val="32"/>
        </w:rPr>
        <w:t>第四章　社会保护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全社会应当树立关心、爱护未成年人的良好风尚。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国家鼓励、支持和引导人民团体、企业事业单位、社会组织以及其他组织和个人，开展有利于未成年人健康成长的社会活动和服务。</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国家鼓励爱国主义教育基地、博物馆、科技馆、美术馆等公共场馆开设未成年人专场，为未成年人提供有针对性的服务。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国家鼓励国家机关、企业事业单位、部队等开发自身教育资源，设立未成年人开放日，为未成年人主题教育、社会实践、职业体验等提供支持。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国家鼓励科研机构和科技类社会组织对未成年人开展科学普及活动。</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城市公共交通以及公路、铁路、水路、航空客运等应当按照有关规定对未成年人实施免费或者优惠票价。</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国家鼓励大型公共场所、公共交通工具、旅游景区景点等设置母婴室、婴儿护理台以及方便幼儿使用的坐便器、洗手台等卫生设施，为未成年人提供便利。</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任何组织或者个人不得违反有关规定，限制未成年人应当享有的照顾或者优惠。</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国家鼓励创作、出版、制作和传播有利于未成年人健康成长的图书、报刊、电影、广播电视节目、舞台艺术作品、音像制品、电子出版物和网络信息等。</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新闻媒体应当加强未成年人保护方面的宣传，对侵犯未成年人合法权益的行为进行舆论监督。新闻媒体采访报道涉及未成年人事件应当客观、审慎和适度，不得侵犯未成年人的名誉、隐私和其他合法权益。</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任何组织或者个人出版、发布、传播的图书、报刊、电影、广播电视节目、舞台艺术作品、音像制品、电子出版物或者网络信息，包含可能影响未成年人身心健康内容的，应当以显著方式作出提示。</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禁止制作、复制、发布、传播或者持有有关未成年人的淫秽色情物品和网络信息。</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任何组织或者个人不得刊登、播放、张贴或者散发含有危害未成年人身心健康内容的广告；不得在学校、幼儿园播放、张贴或者散发商业广告；不得利用校服、教材等发布或者变相发布商业广告。</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禁止拐卖、绑架、虐待、非法收养未成年人，禁止对未成年人实施性侵害、性骚扰。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禁止胁迫、引诱、教唆未成年人参加黑社会性质组织或者从事违法犯罪活动。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禁止胁迫、诱骗、利用未成年人乞讨。</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公共场所发生突发事件时，应当优先救护未成年人。</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任何人不得在学校、幼儿园和其他未成年人集中活动的公共场所吸烟、饮酒。</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禁止向未成年人提供、销售管制刀具或者其他可能致人严重伤害的器具等物品。经营者难以判明购买者是否是未成年人的，应当要求其出示身份证件。</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任何组织或者个人不得招用未满十六周岁未成年人，国家另有规定的除外。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营业性娱乐场所、酒吧、互联网上网服务营业场所等不适宜未成年人活动的场所不得招用已满十六周岁的未成年人。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招用已满十六周岁未成年人的单位和个人应当执行国家在工种、劳动时间、劳动强度和保护措施等方面的规定，不得安排其从事过重、有毒、有害等危害未成年人身心健康的劳动或者危险作业。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密切接触未成年人的单位招聘工作人员时，应当向公安机关、人民检察院查询应聘者是否具有性侵害、虐待、拐卖、暴力伤害等违法犯罪记录；发现其具有前述行为记录的，不得录用。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密切接触未成年人的单位应当每年定期对工作人员是否具有上述违法犯罪记录进行查询。通过查询或者其他方式发现其工作人员具有上述行为的，应当及时解聘。</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任何组织或者个人不得隐匿、毁弃、非法删除未成年人的信件、日记、电子邮件或者其他网络通讯内容。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除下列情形外，任何组织或者个人不得开拆、查阅未成年人的信件、日记、电子邮件或者其他网络通讯内容：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（一）无民事行为能力未成年人的父母或者其他监护人代未成年人开拆、查阅；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（二）因国家安全或者追查刑事犯罪依法进行检查；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（三）紧急情况下为了保护未成年人本人的人身安全。</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五章 网络保护"/>
      <w:bookmarkEnd w:id="70"/>
      <w:r>
        <w:rPr>
          <w:rFonts w:ascii="Times New Roman" w:eastAsia="黑体" w:hAnsi="Times New Roman" w:cs="黑体" w:hint="eastAsia"/>
          <w:szCs w:val="32"/>
        </w:rPr>
        <w:t>第五章　网络保护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国家、社会、学校和家庭应当加强未成年人网络素养宣传教育，培养和提高未成年人的网络素养，增强未成年人科学、文明、安全、合理使用网络的意识和能力，保障未成年人在网络空间的合法权益。</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国家鼓励和支持有利于未成年人健康成长的网络内容的创作与传播，鼓励和支持专门以未成年人为服务对象、适合未成年人身心健康特点的网络技术、产品、服务的研发、生产和使用。</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网信部门及其他有关部门应当加强对未成年人网络保护工作的监督检查，依法惩处利用网络从事危害未成年人身心健康的活动，为未成年人提供安全、健康的网络环境。</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网信部门会同公安、文化和旅游、新闻出版、电影、广播电视等部门根据保护不同年龄阶段未成年人的需要，确定可能影响未成年人身心健康网络信息的种类、范围和判断标准。</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新闻出版、教育、卫生健康、文化和旅游、网信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任何组织或者个人不得以侵害未成年人身心健康的方式对未成年人沉迷网络进行干预。</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学校、社区、图书馆、文化馆、青少年宫等场所为未成年人提供的互联网上网服务设施，应当安装未成年人网络保护软件或者采取其他安全保护技术措施。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智能终端产品的制造者、销售者应当在产品上安装未成年人网络保护软件，或者以显著方式告知用户未成年人网络保护软件的安装渠道和方法。</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学校应当合理使用网络开展教学活动。未经学校允许，未成年学生不得将手机等智能终端产品带入课堂，带入学校的应当统一管理。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学校发现未成年学生沉迷网络的，应当及时告知其父母或者其他监护人，共同对未成年学生进行教育和引导，帮助其恢复正常的学习生活。</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未成年人的父母或者其他监护人应当提高网络素养，规范自身使用网络的行为，加强对未成年人使用网络行为的引导和监督。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ind w:firstLine="640" w:firstLineChars="200"/>
        <w:rPr>
          <w:rFonts w:ascii="Times New Roman" w:hAnsi="Times New Roman" w:cs="仿宋_GB2312"/>
          <w:sz w:val="32"/>
          <w:szCs w:val="32"/>
        </w:rPr>
      </w:pPr>
      <w:bookmarkStart w:id="79" w:name="第七十二条"/>
      <w:bookmarkEnd w:id="79"/>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信息处理者通过网络处理未成年人个人信息的，应当遵循合法、正当和必要的原则。处理不满十四周岁未成年人个人信息的，应当征得未成年人的父母或者其他监护人同意，但法律、行政法规另有规定的除外。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未成年人、父母或者其他监护人要求信息处理者更正、删除未成年人个人信息的，信息处理者应当及时采取措施予以更正、删除，但法律、行政法规另有规定的除外。</w:t>
      </w: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网络服务提供者发现未成年人通过网络发布私密信息的，应当及时提示，并采取必要的保护措施。</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网络产品和服务提供者不得向未成年人提供诱导其沉迷的产品和服务。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网络游戏、网络直播、网络音视频、网络社交等网络服务提供者应当针对未成年人使用其服务设置相应的时间管理、权限管理、消费管理等功能。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以未成年人为服务对象的在线教育网络产品和服务，不得插入网络游戏链接，不得推送广告等与教学无关的信息。</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网络游戏经依法审批后方可运营。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国家建立统一的未成年人网络游戏电子身份认证系统。网络游戏服务提供者应当要求未成年人以真实身份信息注册并登录网络游戏。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网络游戏服务提供者应当按照国家有关规定和标准，对游戏产品进行分类，作出适龄提示，并采取技术措施，不得让未成年人接触不适宜的游戏或者游戏功能。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网络游戏服务提供者不得在每日二十二时至次日八时向未成年人提供网络游戏服务。</w:t>
      </w:r>
    </w:p>
    <w:p>
      <w:pPr>
        <w:ind w:firstLine="640" w:firstLineChars="200"/>
        <w:rPr>
          <w:rFonts w:ascii="Times New Roman" w:hAnsi="Times New Roman" w:cs="仿宋_GB2312"/>
          <w:sz w:val="32"/>
          <w:szCs w:val="32"/>
        </w:rPr>
      </w:pPr>
      <w:bookmarkStart w:id="83" w:name="第七十六条"/>
      <w:bookmarkEnd w:id="83"/>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ind w:firstLine="640" w:firstLineChars="200"/>
        <w:rPr>
          <w:rFonts w:ascii="Times New Roman" w:hAnsi="Times New Roman" w:cs="仿宋_GB2312"/>
          <w:sz w:val="32"/>
          <w:szCs w:val="32"/>
        </w:rPr>
      </w:pPr>
      <w:bookmarkStart w:id="84" w:name="第七十七条"/>
      <w:bookmarkEnd w:id="84"/>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任何组织或者个人不得通过网络以文字、图片、音视频等形式，对未成年人实施侮辱、诽谤、威胁或者恶意损害形象等网络欺凌行为。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遭受网络欺凌的未成年人及其父母或者其他监护人有权通知网络服务提供者采取删除、屏蔽、断开链接等措施。网络服务提供者接到通知后，应当及时采取必要的措施制止网络欺凌行为，防止信息扩散。</w:t>
      </w:r>
    </w:p>
    <w:p>
      <w:pPr>
        <w:ind w:firstLine="640" w:firstLineChars="200"/>
        <w:rPr>
          <w:rFonts w:ascii="Times New Roman" w:hAnsi="Times New Roman" w:cs="仿宋_GB2312"/>
          <w:sz w:val="32"/>
          <w:szCs w:val="32"/>
        </w:rPr>
      </w:pPr>
      <w:bookmarkStart w:id="85" w:name="第七十八条"/>
      <w:bookmarkEnd w:id="85"/>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网络产品和服务提供者应当建立便捷、合理、有效的投诉和举报渠道，公开投诉、举报方式等信息，及时受理并处理涉及未成年人的投诉、举报。</w:t>
      </w:r>
    </w:p>
    <w:p>
      <w:pPr>
        <w:ind w:firstLine="640" w:firstLineChars="200"/>
        <w:rPr>
          <w:rFonts w:ascii="Times New Roman" w:hAnsi="Times New Roman" w:cs="仿宋_GB2312"/>
          <w:sz w:val="32"/>
          <w:szCs w:val="32"/>
        </w:rPr>
      </w:pPr>
      <w:bookmarkStart w:id="86" w:name="第七十九条"/>
      <w:bookmarkEnd w:id="86"/>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任何组织或者个人发现网络产品、服务含有危害未成年人身心健康的信息，有权向网络产品和服务提供者或者网信、公安等部门投诉、举报。</w:t>
      </w:r>
    </w:p>
    <w:p>
      <w:pPr>
        <w:ind w:firstLine="640" w:firstLineChars="200"/>
        <w:rPr>
          <w:rFonts w:ascii="Times New Roman" w:hAnsi="Times New Roman" w:cs="仿宋_GB2312"/>
          <w:sz w:val="32"/>
          <w:szCs w:val="32"/>
        </w:rPr>
      </w:pPr>
      <w:bookmarkStart w:id="87" w:name="第八十条"/>
      <w:bookmarkEnd w:id="87"/>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网络服务提供者发现用户发布、传播可能影响未成年人身心健康的信息且未作显著提示的，应当作出提示或者通知用户予以提示；未作出提示的，不得传输相关信息。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网络服务提供者发现用户发布、传播含有危害未成年人身心健康内容的信息的，应当立即停止传输相关信息，采取删除、屏蔽、断开链接等处置措施，保存有关记录，并向网信、公安等部门报告。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网络服务提供者发现用户利用其网络服务对未成年人实施违法犯罪行为的，应当立即停止向该用户提供网络服务，保存有关记录，并向公安机关报告。</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六章 政府保护"/>
      <w:bookmarkEnd w:id="88"/>
      <w:r>
        <w:rPr>
          <w:rFonts w:ascii="Times New Roman" w:eastAsia="黑体" w:hAnsi="Times New Roman" w:cs="黑体" w:hint="eastAsia"/>
          <w:szCs w:val="32"/>
        </w:rPr>
        <w:t>第六章　政府保护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县级以上人民政府承担未成年人保护协调机制具体工作的职能部门应当明确相关内设机构或者专门人员，负责承担未成年人保护工作。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乡镇人民政府和街道办事处应当设立未成年人保护工作站或者指定专门人员，及时办理未成年人相关事务；支持、指导居民委员会、村民委员会设立专人专岗，做好未成年人保护工作。</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各级人民政府应当将家庭教育指导服务纳入城乡公共服务体系，开展家庭教育知识宣传，鼓励和支持有关人民团体、企业事业单位、社会组织开展家庭教育指导服务。</w:t>
      </w:r>
    </w:p>
    <w:p>
      <w:pPr>
        <w:ind w:firstLine="640" w:firstLineChars="200"/>
        <w:rPr>
          <w:rFonts w:ascii="Times New Roman" w:hAnsi="Times New Roman" w:cs="仿宋_GB2312"/>
          <w:sz w:val="32"/>
          <w:szCs w:val="32"/>
        </w:rPr>
      </w:pPr>
      <w:bookmarkStart w:id="91" w:name="第八十三条"/>
      <w:bookmarkEnd w:id="91"/>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各级人民政府应当保障未成年人受教育的权利，并采取措施保障留守未成年人、困境未成年人、残疾未成年人接受义务教育。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对尚未完成义务教育的辍学未成年学生，教育行政部门应当责令父母或者其他监护人将其送入学校接受义务教育。</w:t>
      </w:r>
    </w:p>
    <w:p>
      <w:pPr>
        <w:ind w:firstLine="640" w:firstLineChars="200"/>
        <w:rPr>
          <w:rFonts w:ascii="Times New Roman" w:hAnsi="Times New Roman" w:cs="仿宋_GB2312"/>
          <w:sz w:val="32"/>
          <w:szCs w:val="32"/>
        </w:rPr>
      </w:pPr>
      <w:bookmarkStart w:id="92" w:name="第八十四条"/>
      <w:bookmarkEnd w:id="92"/>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各级人民政府应当发展托育、学前教育事业，办好婴幼儿照护服务机构、幼儿园，支持社会力量依法兴办母婴室、婴幼儿照护服务机构、幼儿园。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县级以上地方人民政府及其有关部门应当培养和培训婴幼儿照护服务机构、幼儿园的保教人员，提高其职业道德素质和业务能力。</w:t>
      </w:r>
    </w:p>
    <w:p>
      <w:pPr>
        <w:ind w:firstLine="640" w:firstLineChars="200"/>
        <w:rPr>
          <w:rFonts w:ascii="Times New Roman" w:hAnsi="Times New Roman" w:cs="仿宋_GB2312"/>
          <w:sz w:val="32"/>
          <w:szCs w:val="32"/>
        </w:rPr>
      </w:pPr>
      <w:bookmarkStart w:id="93" w:name="第八十五条"/>
      <w:bookmarkEnd w:id="93"/>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各级人民政府应当发展职业教育，保障未成年人接受职业教育或者职业技能培训，鼓励和支持人民团体、企业事业单位、社会组织为未成年人提供职业技能培训服务。</w:t>
      </w:r>
    </w:p>
    <w:p>
      <w:pPr>
        <w:ind w:firstLine="640" w:firstLineChars="200"/>
        <w:rPr>
          <w:rFonts w:ascii="Times New Roman" w:hAnsi="Times New Roman" w:cs="仿宋_GB2312"/>
          <w:sz w:val="32"/>
          <w:szCs w:val="32"/>
        </w:rPr>
      </w:pPr>
      <w:bookmarkStart w:id="94" w:name="第八十六条"/>
      <w:bookmarkEnd w:id="94"/>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各级人民政府应当保障特殊教育学校、幼儿园的办学、办园条件，鼓励和支持社会力量举办特殊教育学校、幼儿园。</w:t>
      </w:r>
    </w:p>
    <w:p>
      <w:pPr>
        <w:ind w:firstLine="640" w:firstLineChars="200"/>
        <w:rPr>
          <w:rFonts w:ascii="Times New Roman" w:hAnsi="Times New Roman" w:cs="仿宋_GB2312"/>
          <w:sz w:val="32"/>
          <w:szCs w:val="32"/>
        </w:rPr>
      </w:pPr>
      <w:bookmarkStart w:id="95" w:name="第八十七条"/>
      <w:bookmarkEnd w:id="95"/>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地方人民政府及其有关部门应当保障校园安全，监督、指导学校、幼儿园等单位落实校园安全责任，建立突发事件的报告、处置和协调机制。</w:t>
      </w:r>
    </w:p>
    <w:p>
      <w:pPr>
        <w:ind w:firstLine="640" w:firstLineChars="200"/>
        <w:rPr>
          <w:rFonts w:ascii="Times New Roman" w:hAnsi="Times New Roman" w:cs="仿宋_GB2312"/>
          <w:sz w:val="32"/>
          <w:szCs w:val="32"/>
        </w:rPr>
      </w:pPr>
      <w:bookmarkStart w:id="96" w:name="第八十八条"/>
      <w:bookmarkEnd w:id="96"/>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公安机关和其他有关部门应当依法维护校园周边的治安和交通秩序，设置监控设备和交通安全设施，预防和制止侵害未成年人的违法犯罪行为。</w:t>
      </w:r>
    </w:p>
    <w:p>
      <w:pPr>
        <w:ind w:firstLine="640" w:firstLineChars="200"/>
        <w:rPr>
          <w:rFonts w:ascii="Times New Roman" w:hAnsi="Times New Roman" w:cs="仿宋_GB2312"/>
          <w:sz w:val="32"/>
          <w:szCs w:val="32"/>
        </w:rPr>
      </w:pPr>
      <w:bookmarkStart w:id="97" w:name="第八十九条"/>
      <w:bookmarkEnd w:id="97"/>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地方人民政府应当建立和改善适合未成年人的活动场所和设施，支持公益性未成年人活动场所和设施的建设和运行，鼓励社会力量兴办适合未成年人的活动场所和设施，并加强管理。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地方人民政府应当采取措施，鼓励和支持学校在国家法定节假日、休息日及寒暑假期将文化体育设施对未成年人免费或者优惠开放。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地方人民政府应当采取措施，防止任何组织或者个人侵占、破坏学校、幼儿园、婴幼儿照护服务机构等未成年人活动场所的场地、房屋和设施。</w:t>
      </w:r>
    </w:p>
    <w:p>
      <w:pPr>
        <w:ind w:firstLine="640" w:firstLineChars="200"/>
        <w:rPr>
          <w:rFonts w:ascii="Times New Roman" w:hAnsi="Times New Roman" w:cs="仿宋_GB2312"/>
          <w:sz w:val="32"/>
          <w:szCs w:val="32"/>
        </w:rPr>
      </w:pPr>
      <w:bookmarkStart w:id="98" w:name="第九十条"/>
      <w:bookmarkEnd w:id="98"/>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各级人民政府及其有关部门应当对未成年人进行卫生保健和营养指导，提供卫生保健服务。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依法对未成年人的疫苗预防接种进行规范，防治未成年人常见病、多发病，加强传染病防治和监督管理，做好伤害预防和干预，指导和监督学校、幼儿园、婴幼儿照护服务机构开展卫生保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教育行政部门应当加强未成年人的心理健康教育，建立未成年人心理问题的早期发现和及时干预机制。卫生健康部门应当做好未成年人心理治疗、心理危机干预以及精神障碍早期识别和诊断治疗等工作。</w:t>
      </w:r>
    </w:p>
    <w:p>
      <w:pPr>
        <w:ind w:firstLine="640" w:firstLineChars="200"/>
        <w:rPr>
          <w:rFonts w:ascii="Times New Roman" w:hAnsi="Times New Roman" w:cs="仿宋_GB2312"/>
          <w:sz w:val="32"/>
          <w:szCs w:val="32"/>
        </w:rPr>
      </w:pPr>
      <w:bookmarkStart w:id="99" w:name="第九十一条"/>
      <w:bookmarkEnd w:id="99"/>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各级人民政府及其有关部门对困境未成年人实施分类保障，采取措施满足其生活、教育、安全、医疗康复、住房等方面的基本需要。</w:t>
      </w:r>
    </w:p>
    <w:p>
      <w:pPr>
        <w:ind w:firstLine="640" w:firstLineChars="200"/>
        <w:rPr>
          <w:rFonts w:ascii="Times New Roman" w:hAnsi="Times New Roman" w:cs="仿宋_GB2312"/>
          <w:sz w:val="32"/>
          <w:szCs w:val="32"/>
        </w:rPr>
      </w:pPr>
      <w:bookmarkStart w:id="100" w:name="第九十二条"/>
      <w:bookmarkEnd w:id="100"/>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具有下列情形之一的，民政部门应当依法对未成年人进行临时监护：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（一）未成年人流浪乞讨或者身份不明，暂时查找不到父母或者其他监护人；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（二）监护人下落不明且无其他人可以担任监护人；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（三）监护人因自身客观原因或者因发生自然灾害、事故灾难、公共卫生事件等突发事件不能履行监护职责，导致未成年人监护缺失；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（四）监护人拒绝或者怠于履行监护职责，导致未成年人处于无人照料的状态；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（五）监护人教唆、利用未成年人实施违法犯罪行为，未成年人需要被带离安置；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（六）未成年人遭受监护人严重伤害或者面临人身安全威胁，需要被紧急安置；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（七）法律规定的其他情形。</w:t>
      </w:r>
    </w:p>
    <w:p>
      <w:pPr>
        <w:ind w:firstLine="640" w:firstLineChars="200"/>
        <w:rPr>
          <w:rFonts w:ascii="Times New Roman" w:hAnsi="Times New Roman" w:cs="仿宋_GB2312"/>
          <w:sz w:val="32"/>
          <w:szCs w:val="32"/>
        </w:rPr>
      </w:pPr>
      <w:bookmarkStart w:id="101" w:name="第九十三条"/>
      <w:bookmarkEnd w:id="101"/>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对临时监护的未成年人，民政部门可以采取委托亲属抚养、家庭寄养等方式进行安置，也可以交由未成年人救助保护机构或者儿童福利机构进行收留、抚养。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临时监护期间，经民政部门评估，监护人重新具备履行监护职责条件的，民政部门可以将未成年人送回监护人抚养。</w:t>
      </w:r>
    </w:p>
    <w:p>
      <w:pPr>
        <w:ind w:firstLine="640" w:firstLineChars="200"/>
        <w:rPr>
          <w:rFonts w:ascii="Times New Roman" w:hAnsi="Times New Roman" w:cs="仿宋_GB2312"/>
          <w:sz w:val="32"/>
          <w:szCs w:val="32"/>
        </w:rPr>
      </w:pPr>
      <w:bookmarkStart w:id="102" w:name="第九十四条"/>
      <w:bookmarkEnd w:id="102"/>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具有下列情形之一的，民政部门应当依法对未成年人进行长期监护：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（一）查找不到未成年人的父母或者其他监护人；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（二）监护人死亡或者被宣告死亡且无其他人可以担任监护人；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（三）监护人丧失监护能力且无其他人可以担任监护人；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（四）人民法院判决撤销监护人资格并指定由民政部门担任监护人；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（五）法律规定的其他情形。</w:t>
      </w:r>
    </w:p>
    <w:p>
      <w:pPr>
        <w:ind w:firstLine="640" w:firstLineChars="200"/>
        <w:rPr>
          <w:rFonts w:ascii="Times New Roman" w:hAnsi="Times New Roman" w:cs="仿宋_GB2312"/>
          <w:sz w:val="32"/>
          <w:szCs w:val="32"/>
        </w:rPr>
      </w:pPr>
      <w:bookmarkStart w:id="103" w:name="第九十五条"/>
      <w:bookmarkEnd w:id="103"/>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民政部门进行收养评估后，可以依法将其长期监护的未成年人交由符合条　件的申请人收养。收养关系成立后，民政部门与未成年人的监护关系终止。</w:t>
      </w:r>
    </w:p>
    <w:p>
      <w:pPr>
        <w:ind w:firstLine="640" w:firstLineChars="200"/>
        <w:rPr>
          <w:rFonts w:ascii="Times New Roman" w:hAnsi="Times New Roman" w:cs="仿宋_GB2312"/>
          <w:sz w:val="32"/>
          <w:szCs w:val="32"/>
        </w:rPr>
      </w:pPr>
      <w:bookmarkStart w:id="104" w:name="第九十六条"/>
      <w:bookmarkEnd w:id="104"/>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民政部门承担临时监护或者长期监护职责的，财政、教育、卫生健康、公安等部门应当根据各自职责予以配合。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县级以上人民政府及其民政部门应当根据需要设立未成年人救助保护机构、儿童福利机构，负责收留、抚养由民政部门监护的未成年人。</w:t>
      </w:r>
    </w:p>
    <w:p>
      <w:pPr>
        <w:ind w:firstLine="640" w:firstLineChars="200"/>
        <w:rPr>
          <w:rFonts w:ascii="Times New Roman" w:hAnsi="Times New Roman" w:cs="仿宋_GB2312"/>
          <w:sz w:val="32"/>
          <w:szCs w:val="32"/>
        </w:rPr>
      </w:pPr>
      <w:bookmarkStart w:id="105" w:name="第九十七条"/>
      <w:bookmarkEnd w:id="105"/>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pPr>
        <w:ind w:firstLine="640" w:firstLineChars="200"/>
        <w:rPr>
          <w:rFonts w:ascii="Times New Roman" w:hAnsi="Times New Roman" w:cs="仿宋_GB2312"/>
          <w:sz w:val="32"/>
          <w:szCs w:val="32"/>
        </w:rPr>
      </w:pPr>
      <w:bookmarkStart w:id="106" w:name="第九十八条"/>
      <w:bookmarkEnd w:id="106"/>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国家建立性侵害、虐待、拐卖、暴力伤害等违法犯罪人员信息查询系统，向密切接触未成年人的单位提供免费查询服务。</w:t>
      </w:r>
    </w:p>
    <w:p>
      <w:pPr>
        <w:ind w:firstLine="640" w:firstLineChars="200"/>
        <w:rPr>
          <w:rFonts w:ascii="Times New Roman" w:hAnsi="Times New Roman" w:cs="仿宋_GB2312"/>
          <w:sz w:val="32"/>
          <w:szCs w:val="32"/>
        </w:rPr>
      </w:pPr>
      <w:bookmarkStart w:id="107" w:name="第九十九条"/>
      <w:bookmarkEnd w:id="107"/>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地方人民政府应当培育、引导和规范有关社会组织、社会工作者参与未成年人保护工作，开展家庭教育指导服务，为未成年人的心理辅导、康复救助、监护及收养评估等提供专业服务。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08" w:name="第七章 司法保护"/>
      <w:bookmarkEnd w:id="108"/>
      <w:r>
        <w:rPr>
          <w:rFonts w:ascii="Times New Roman" w:eastAsia="黑体" w:hAnsi="Times New Roman" w:cs="黑体" w:hint="eastAsia"/>
          <w:szCs w:val="32"/>
        </w:rPr>
        <w:t>第七章　司法保护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9" w:name="第一百条"/>
      <w:bookmarkEnd w:id="109"/>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公安机关、人民检察院、人民法院和司法行政部门应当依法履行职责，保障未成年人合法权益。</w:t>
      </w:r>
    </w:p>
    <w:p>
      <w:pPr>
        <w:ind w:firstLine="640" w:firstLineChars="200"/>
        <w:rPr>
          <w:rFonts w:ascii="Times New Roman" w:hAnsi="Times New Roman" w:cs="仿宋_GB2312"/>
          <w:sz w:val="32"/>
          <w:szCs w:val="32"/>
        </w:rPr>
      </w:pPr>
      <w:bookmarkStart w:id="110" w:name="第一百零一条"/>
      <w:bookmarkEnd w:id="110"/>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公安机关、人民检察院、人民法院和司法行政部门应当对上述机构和人员实行与未成年人保护工作相适应的评价考核标准。</w:t>
      </w:r>
    </w:p>
    <w:p>
      <w:pPr>
        <w:ind w:firstLine="640" w:firstLineChars="200"/>
        <w:rPr>
          <w:rFonts w:ascii="Times New Roman" w:hAnsi="Times New Roman" w:cs="仿宋_GB2312"/>
          <w:sz w:val="32"/>
          <w:szCs w:val="32"/>
        </w:rPr>
      </w:pPr>
      <w:bookmarkStart w:id="111" w:name="第一百零二条"/>
      <w:bookmarkEnd w:id="111"/>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公安机关、人民检察院、人民法院和司法行政部门办理涉及未成年人案件，应当考虑未成年人身心特点和健康成长的需要，使用未成年人能够理解的语言和表达方式，听取未成年人的意见。</w:t>
      </w:r>
    </w:p>
    <w:p>
      <w:pPr>
        <w:ind w:firstLine="640" w:firstLineChars="200"/>
        <w:rPr>
          <w:rFonts w:ascii="Times New Roman" w:hAnsi="Times New Roman" w:cs="仿宋_GB2312"/>
          <w:sz w:val="32"/>
          <w:szCs w:val="32"/>
        </w:rPr>
      </w:pPr>
      <w:bookmarkStart w:id="112" w:name="第一百零三条"/>
      <w:bookmarkEnd w:id="112"/>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公安机关、人民检察院、人民法院、司法行政部门以及其他组织和个人不得披露有关案件中未成年人的姓名、影像、住所、就读学校以及其他可能识别出其身份的信息，但查找失踪、被拐卖未成年人等情形除外。</w:t>
      </w:r>
    </w:p>
    <w:p>
      <w:pPr>
        <w:ind w:firstLine="640" w:firstLineChars="200"/>
        <w:rPr>
          <w:rFonts w:ascii="Times New Roman" w:hAnsi="Times New Roman" w:cs="仿宋_GB2312"/>
          <w:sz w:val="32"/>
          <w:szCs w:val="32"/>
        </w:rPr>
      </w:pPr>
      <w:bookmarkStart w:id="113" w:name="第一百零四条"/>
      <w:bookmarkEnd w:id="113"/>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对需要法律援助或者司法救助的未成年人，法律援助机构或者公安机关、人民检察院、人民法院和司法行政部门应当给予帮助，依法为其提供法律援助或者司法救助。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法律援助机构应当指派熟悉未成年人身心特点的律师为未成年人提供法律援助服务。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法律援助机构和律师协会应当对办理未成年人法律援助案件的律师进行指导和培训。</w:t>
      </w:r>
    </w:p>
    <w:p>
      <w:pPr>
        <w:ind w:firstLine="640" w:firstLineChars="200"/>
        <w:rPr>
          <w:rFonts w:ascii="Times New Roman" w:hAnsi="Times New Roman" w:cs="仿宋_GB2312"/>
          <w:sz w:val="32"/>
          <w:szCs w:val="32"/>
        </w:rPr>
      </w:pPr>
      <w:bookmarkStart w:id="114" w:name="第一百零五条"/>
      <w:bookmarkEnd w:id="114"/>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人民检察院通过行使检察权，对涉及未成年人的诉讼活动等依法进行监督。</w:t>
      </w:r>
    </w:p>
    <w:p>
      <w:pPr>
        <w:ind w:firstLine="640" w:firstLineChars="200"/>
        <w:rPr>
          <w:rFonts w:ascii="Times New Roman" w:hAnsi="Times New Roman" w:cs="仿宋_GB2312"/>
          <w:sz w:val="32"/>
          <w:szCs w:val="32"/>
        </w:rPr>
      </w:pPr>
      <w:bookmarkStart w:id="115" w:name="第一百零六条"/>
      <w:bookmarkEnd w:id="115"/>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未成年人合法权益受到侵犯，相关组织和个人未代为提起诉讼的，人民检察院可以督促、支持其提起诉讼；涉及公共利益的，人民检察院有权提起公益诉讼。</w:t>
      </w:r>
    </w:p>
    <w:p>
      <w:pPr>
        <w:ind w:firstLine="640" w:firstLineChars="200"/>
        <w:rPr>
          <w:rFonts w:ascii="Times New Roman" w:hAnsi="Times New Roman" w:cs="仿宋_GB2312"/>
          <w:sz w:val="32"/>
          <w:szCs w:val="32"/>
        </w:rPr>
      </w:pPr>
      <w:bookmarkStart w:id="116" w:name="第一百零七条"/>
      <w:bookmarkEnd w:id="116"/>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人民法院审理继承案件，应当依法保护未成年人的继承权和受遗赠权。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人民法院审理离婚案件，涉及未成年子女抚养问题的，应当尊重已满八周岁未成年子女的真实意愿，根据双方具体情况，按照最有利于未成年子女的原则依法处理。</w:t>
      </w:r>
    </w:p>
    <w:p>
      <w:pPr>
        <w:ind w:firstLine="640" w:firstLineChars="200"/>
        <w:rPr>
          <w:rFonts w:ascii="Times New Roman" w:hAnsi="Times New Roman" w:cs="仿宋_GB2312"/>
          <w:sz w:val="32"/>
          <w:szCs w:val="32"/>
        </w:rPr>
      </w:pPr>
      <w:bookmarkStart w:id="117" w:name="第一百零八条"/>
      <w:bookmarkEnd w:id="117"/>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未成年人的父母或者其他监护人不依法履行监护职责或者严重侵犯被监护的未成年人合法权益的，人民法院可以根据有关人员或者单位的申请，依法作出人身安全保护令或者撤销监护人资格。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被撤销监护人资格的父母或者其他监护人应当依法继续负担抚养费用。</w:t>
      </w:r>
    </w:p>
    <w:p>
      <w:pPr>
        <w:ind w:firstLine="640" w:firstLineChars="200"/>
        <w:rPr>
          <w:rFonts w:ascii="Times New Roman" w:hAnsi="Times New Roman" w:cs="仿宋_GB2312"/>
          <w:sz w:val="32"/>
          <w:szCs w:val="32"/>
        </w:rPr>
      </w:pPr>
      <w:bookmarkStart w:id="118" w:name="第一百零九条"/>
      <w:bookmarkEnd w:id="118"/>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人民法院审理离婚、抚养、收养、监护、探望等案件涉及未成年人的，可以自行或者委托社会组织对未成年人的相关情况进行社会调查。</w:t>
      </w:r>
    </w:p>
    <w:p>
      <w:pPr>
        <w:ind w:firstLine="640" w:firstLineChars="200"/>
        <w:rPr>
          <w:rFonts w:ascii="Times New Roman" w:hAnsi="Times New Roman" w:cs="仿宋_GB2312"/>
          <w:sz w:val="32"/>
          <w:szCs w:val="32"/>
        </w:rPr>
      </w:pPr>
      <w:bookmarkStart w:id="119" w:name="第一百一十条"/>
      <w:bookmarkEnd w:id="119"/>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人民法院开庭审理涉及未成年人案件，未成年被害人、证人一般不出庭作证；必须出庭的，应当采取保护其隐私的技术手段和心理干预等保护措施。</w:t>
      </w:r>
    </w:p>
    <w:p>
      <w:pPr>
        <w:ind w:firstLine="640" w:firstLineChars="200"/>
        <w:rPr>
          <w:rFonts w:ascii="Times New Roman" w:hAnsi="Times New Roman" w:cs="仿宋_GB2312"/>
          <w:sz w:val="32"/>
          <w:szCs w:val="32"/>
        </w:rPr>
      </w:pPr>
      <w:bookmarkStart w:id="120" w:name="第一百一十一条"/>
      <w:bookmarkEnd w:id="120"/>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应当与其他有关政府部门、人民团体、社会组织互相配合，对遭受性侵害或者暴力伤害的未成年被害人及其家庭实施必要的心理干预、经济救助、法律援助、转学安置等保护措施。</w:t>
      </w:r>
    </w:p>
    <w:p>
      <w:pPr>
        <w:ind w:firstLine="640" w:firstLineChars="200"/>
        <w:rPr>
          <w:rFonts w:ascii="Times New Roman" w:hAnsi="Times New Roman" w:cs="仿宋_GB2312"/>
          <w:sz w:val="32"/>
          <w:szCs w:val="32"/>
        </w:rPr>
      </w:pPr>
      <w:bookmarkStart w:id="121" w:name="第一百一十二条"/>
      <w:bookmarkEnd w:id="121"/>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办理未成年人遭受性侵害或者暴力伤害案件，在询问未成年被害人、证人时，应当采取同步录音录像等措施，尽量一次完成；未成年被害人、证人是女性的，应当由女性工作人员进行。</w:t>
      </w:r>
    </w:p>
    <w:p>
      <w:pPr>
        <w:ind w:firstLine="640" w:firstLineChars="200"/>
        <w:rPr>
          <w:rFonts w:ascii="Times New Roman" w:hAnsi="Times New Roman" w:cs="仿宋_GB2312"/>
          <w:sz w:val="32"/>
          <w:szCs w:val="32"/>
        </w:rPr>
      </w:pPr>
      <w:bookmarkStart w:id="122" w:name="第一百一十三条"/>
      <w:bookmarkEnd w:id="122"/>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对违法犯罪的未成年人，实行教育、感化、挽救的方针，坚持教育为主、惩罚为辅的原则。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对违法犯罪的未成年人依法处罚后，在升学、就业等方面不得歧视。</w:t>
      </w:r>
    </w:p>
    <w:p>
      <w:pPr>
        <w:ind w:firstLine="640" w:firstLineChars="200"/>
        <w:rPr>
          <w:rFonts w:ascii="Times New Roman" w:hAnsi="Times New Roman" w:cs="仿宋_GB2312"/>
          <w:sz w:val="32"/>
          <w:szCs w:val="32"/>
        </w:rPr>
      </w:pPr>
      <w:bookmarkStart w:id="123" w:name="第一百一十四条"/>
      <w:bookmarkEnd w:id="123"/>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公安机关、人民检察院、人民法院和司法行政部门发现有关单位未尽到未成年人教育、管理、救助、看护等保护职责的，应当向该单位提出建议。被建议单位应当在一个月内作出书面回复。</w:t>
      </w:r>
    </w:p>
    <w:p>
      <w:pPr>
        <w:ind w:firstLine="640" w:firstLineChars="200"/>
        <w:rPr>
          <w:rFonts w:ascii="Times New Roman" w:hAnsi="Times New Roman" w:cs="仿宋_GB2312"/>
          <w:sz w:val="32"/>
          <w:szCs w:val="32"/>
        </w:rPr>
      </w:pPr>
      <w:bookmarkStart w:id="124" w:name="第一百一十五条"/>
      <w:bookmarkEnd w:id="124"/>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公安机关、人民检察院、人民法院和司法行政部门应当结合实际，根据涉及未成年人案件的特点，开展未成年人法治宣传教育工作。</w:t>
      </w:r>
    </w:p>
    <w:p>
      <w:pPr>
        <w:ind w:firstLine="640" w:firstLineChars="200"/>
        <w:rPr>
          <w:rFonts w:ascii="Times New Roman" w:hAnsi="Times New Roman" w:cs="仿宋_GB2312"/>
          <w:sz w:val="32"/>
          <w:szCs w:val="32"/>
        </w:rPr>
      </w:pPr>
      <w:bookmarkStart w:id="125" w:name="第一百一十六条"/>
      <w:bookmarkEnd w:id="125"/>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国家鼓励和支持社会组织、社会工作者参与涉及未成年人案件中未成年人的心理干预、法律援助、社会调查、社会观护、教育矫治、社区矫正等工作。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6" w:name="第八章 法律责任"/>
      <w:bookmarkEnd w:id="126"/>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7" w:name="第一百一十七条"/>
      <w:bookmarkEnd w:id="127"/>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违反本法第十一条第二款规定，未履行报告义务造成严重后果的，由上级主管部门或者所在单位对直接负责的主管人员和其他直接责任人员依法给予处分。</w:t>
      </w:r>
    </w:p>
    <w:p>
      <w:pPr>
        <w:ind w:firstLine="640" w:firstLineChars="200"/>
        <w:rPr>
          <w:rFonts w:ascii="Times New Roman" w:hAnsi="Times New Roman" w:cs="仿宋_GB2312"/>
          <w:sz w:val="32"/>
          <w:szCs w:val="32"/>
        </w:rPr>
      </w:pPr>
      <w:bookmarkStart w:id="128" w:name="第一百一十八条"/>
      <w:bookmarkEnd w:id="128"/>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未成年人的父母或者其他监护人不依法履行监护职责或者侵犯未成年人合法权益的，由其居住地的居民委员会、村民委员会予以劝诫、制止；情节严重的，居民委员会、村民委员会应当及时向公安机关报告。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公安机关接到报告或者公安机关、人民检察院、人民法院在办理案件过程中发现未成年人的父母或者其他监护人存在上述情形的，应当予以训诫，并可以责令其接受家庭教育指导。</w:t>
      </w:r>
    </w:p>
    <w:p>
      <w:pPr>
        <w:ind w:firstLine="640" w:firstLineChars="200"/>
        <w:rPr>
          <w:rFonts w:ascii="Times New Roman" w:hAnsi="Times New Roman" w:cs="仿宋_GB2312"/>
          <w:sz w:val="32"/>
          <w:szCs w:val="32"/>
        </w:rPr>
      </w:pPr>
      <w:bookmarkStart w:id="129" w:name="第一百一十九条"/>
      <w:bookmarkEnd w:id="129"/>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pPr>
        <w:ind w:firstLine="640" w:firstLineChars="200"/>
        <w:rPr>
          <w:rFonts w:ascii="Times New Roman" w:hAnsi="Times New Roman" w:cs="仿宋_GB2312"/>
          <w:sz w:val="32"/>
          <w:szCs w:val="32"/>
        </w:rPr>
      </w:pPr>
      <w:bookmarkStart w:id="130" w:name="第一百二十条"/>
      <w:bookmarkEnd w:id="130"/>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pPr>
        <w:ind w:firstLine="640" w:firstLineChars="200"/>
        <w:rPr>
          <w:rFonts w:ascii="Times New Roman" w:hAnsi="Times New Roman" w:cs="仿宋_GB2312"/>
          <w:sz w:val="32"/>
          <w:szCs w:val="32"/>
        </w:rPr>
      </w:pPr>
      <w:bookmarkStart w:id="131" w:name="第一百二十一条"/>
      <w:bookmarkEnd w:id="131"/>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pPr>
        <w:ind w:firstLine="640" w:firstLineChars="200"/>
        <w:rPr>
          <w:rFonts w:ascii="Times New Roman" w:hAnsi="Times New Roman" w:cs="仿宋_GB2312"/>
          <w:sz w:val="32"/>
          <w:szCs w:val="32"/>
        </w:rPr>
      </w:pPr>
      <w:bookmarkStart w:id="132" w:name="第一百二十二条"/>
      <w:bookmarkEnd w:id="132"/>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pPr>
        <w:ind w:firstLine="640" w:firstLineChars="200"/>
        <w:rPr>
          <w:rFonts w:ascii="Times New Roman" w:hAnsi="Times New Roman" w:cs="仿宋_GB2312"/>
          <w:sz w:val="32"/>
          <w:szCs w:val="32"/>
        </w:rPr>
      </w:pPr>
      <w:bookmarkStart w:id="133" w:name="第一百二十三条"/>
      <w:bookmarkEnd w:id="133"/>
      <w:r>
        <w:rPr>
          <w:rFonts w:ascii="Times New Roman" w:eastAsia="黑体" w:hAnsi="Times New Roman" w:cs="黑体" w:hint="eastAsia"/>
          <w:sz w:val="32"/>
          <w:szCs w:val="32"/>
        </w:rPr>
        <w:t>第一百二十三条</w:t>
      </w:r>
      <w:r>
        <w:rPr>
          <w:rFonts w:ascii="Times New Roman" w:hAnsi="Times New Roman" w:cs="仿宋_GB2312" w:hint="eastAsia"/>
          <w:sz w:val="32"/>
          <w:szCs w:val="32"/>
        </w:rPr>
        <w:t>　</w:t>
      </w:r>
      <w:r>
        <w:rPr>
          <w:rFonts w:ascii="Times New Roman" w:hAnsi="Times New Roman" w:cs="仿宋_GB2312" w:hint="eastAsia"/>
          <w:sz w:val="32"/>
          <w:szCs w:val="32"/>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ind w:firstLine="640" w:firstLineChars="200"/>
        <w:rPr>
          <w:rFonts w:ascii="Times New Roman" w:hAnsi="Times New Roman" w:cs="仿宋_GB2312"/>
          <w:sz w:val="32"/>
          <w:szCs w:val="32"/>
        </w:rPr>
      </w:pPr>
      <w:bookmarkStart w:id="134" w:name="第一百二十四条"/>
      <w:bookmarkEnd w:id="134"/>
      <w:r>
        <w:rPr>
          <w:rFonts w:ascii="Times New Roman" w:eastAsia="黑体" w:hAnsi="Times New Roman" w:cs="黑体" w:hint="eastAsia"/>
          <w:sz w:val="32"/>
          <w:szCs w:val="32"/>
        </w:rPr>
        <w:t>第一百二十四条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ind w:firstLine="640" w:firstLineChars="200"/>
        <w:rPr>
          <w:rFonts w:ascii="Times New Roman" w:hAnsi="Times New Roman" w:cs="仿宋_GB2312"/>
          <w:sz w:val="32"/>
          <w:szCs w:val="32"/>
        </w:rPr>
      </w:pPr>
      <w:bookmarkStart w:id="135" w:name="第一百二十五条"/>
      <w:bookmarkEnd w:id="135"/>
      <w:r>
        <w:rPr>
          <w:rFonts w:ascii="Times New Roman" w:eastAsia="黑体" w:hAnsi="Times New Roman" w:cs="黑体" w:hint="eastAsia"/>
          <w:sz w:val="32"/>
          <w:szCs w:val="32"/>
        </w:rPr>
        <w:t>第一百二十五条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ind w:firstLine="640" w:firstLineChars="200"/>
        <w:rPr>
          <w:rFonts w:ascii="Times New Roman" w:hAnsi="Times New Roman" w:cs="仿宋_GB2312"/>
          <w:sz w:val="32"/>
          <w:szCs w:val="32"/>
        </w:rPr>
      </w:pPr>
      <w:bookmarkStart w:id="136" w:name="第一百二十六条"/>
      <w:bookmarkEnd w:id="136"/>
      <w:r>
        <w:rPr>
          <w:rFonts w:ascii="Times New Roman" w:eastAsia="黑体" w:hAnsi="Times New Roman" w:cs="黑体" w:hint="eastAsia"/>
          <w:sz w:val="32"/>
          <w:szCs w:val="32"/>
        </w:rPr>
        <w:t>第一百二十六条</w:t>
      </w:r>
      <w:r>
        <w:rPr>
          <w:rFonts w:ascii="Times New Roman" w:hAnsi="Times New Roman" w:cs="仿宋_GB2312" w:hint="eastAsia"/>
          <w:sz w:val="32"/>
          <w:szCs w:val="32"/>
        </w:rPr>
        <w:t>　</w:t>
      </w:r>
      <w:r>
        <w:rPr>
          <w:rFonts w:ascii="Times New Roman" w:hAnsi="Times New Roman" w:cs="仿宋_GB2312" w:hint="eastAsia"/>
          <w:sz w:val="32"/>
          <w:szCs w:val="32"/>
        </w:rPr>
        <w:t>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ind w:firstLine="640" w:firstLineChars="200"/>
        <w:rPr>
          <w:rFonts w:ascii="Times New Roman" w:hAnsi="Times New Roman" w:cs="仿宋_GB2312"/>
          <w:sz w:val="32"/>
          <w:szCs w:val="32"/>
        </w:rPr>
      </w:pPr>
      <w:bookmarkStart w:id="137" w:name="第一百二十七条"/>
      <w:bookmarkEnd w:id="137"/>
      <w:r>
        <w:rPr>
          <w:rFonts w:ascii="Times New Roman" w:eastAsia="黑体" w:hAnsi="Times New Roman" w:cs="黑体" w:hint="eastAsia"/>
          <w:sz w:val="32"/>
          <w:szCs w:val="32"/>
        </w:rPr>
        <w:t>第一百二十七条</w:t>
      </w:r>
      <w:r>
        <w:rPr>
          <w:rFonts w:ascii="Times New Roman" w:hAnsi="Times New Roman" w:cs="仿宋_GB2312" w:hint="eastAsia"/>
          <w:sz w:val="32"/>
          <w:szCs w:val="32"/>
        </w:rPr>
        <w:t>　</w:t>
      </w:r>
      <w:r>
        <w:rPr>
          <w:rFonts w:ascii="Times New Roman" w:hAnsi="Times New Roman" w:cs="仿宋_GB2312" w:hint="eastAsia"/>
          <w:sz w:val="32"/>
          <w:szCs w:val="32"/>
        </w:rPr>
        <w:t>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pPr>
        <w:ind w:firstLine="640" w:firstLineChars="200"/>
        <w:rPr>
          <w:rFonts w:ascii="Times New Roman" w:hAnsi="Times New Roman" w:cs="仿宋_GB2312"/>
          <w:sz w:val="32"/>
          <w:szCs w:val="32"/>
        </w:rPr>
      </w:pPr>
      <w:bookmarkStart w:id="138" w:name="第一百二十八条"/>
      <w:bookmarkEnd w:id="138"/>
      <w:r>
        <w:rPr>
          <w:rFonts w:ascii="Times New Roman" w:eastAsia="黑体" w:hAnsi="Times New Roman" w:cs="黑体" w:hint="eastAsia"/>
          <w:sz w:val="32"/>
          <w:szCs w:val="32"/>
        </w:rPr>
        <w:t>第一百二十八条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国家机关工作人员玩忽职守、滥用职权、徇私舞弊，损害未成年人合法权益的，依法给予处分。</w:t>
      </w:r>
    </w:p>
    <w:p>
      <w:pPr>
        <w:ind w:firstLine="640" w:firstLineChars="200"/>
        <w:rPr>
          <w:rFonts w:ascii="Times New Roman" w:hAnsi="Times New Roman" w:cs="仿宋_GB2312"/>
          <w:sz w:val="32"/>
          <w:szCs w:val="32"/>
        </w:rPr>
      </w:pPr>
      <w:bookmarkStart w:id="139" w:name="第一百二十九条"/>
      <w:bookmarkEnd w:id="139"/>
      <w:r>
        <w:rPr>
          <w:rFonts w:ascii="Times New Roman" w:eastAsia="黑体" w:hAnsi="Times New Roman" w:cs="黑体" w:hint="eastAsia"/>
          <w:sz w:val="32"/>
          <w:szCs w:val="32"/>
        </w:rPr>
        <w:t>第一百二十九条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违反本法规定，侵犯未成年人合法权益，造成人身、财产或者其他损害的，依法承担民事责任。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40" w:name="第九章 附则"/>
      <w:bookmarkEnd w:id="140"/>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1" w:name="第一百三十条"/>
      <w:bookmarkEnd w:id="141"/>
      <w:r>
        <w:rPr>
          <w:rFonts w:ascii="Times New Roman" w:eastAsia="黑体" w:hAnsi="Times New Roman" w:cs="黑体" w:hint="eastAsia"/>
          <w:sz w:val="32"/>
          <w:szCs w:val="32"/>
        </w:rPr>
        <w:t>第一百三十条</w:t>
      </w:r>
      <w:r>
        <w:rPr>
          <w:rFonts w:ascii="Times New Roman" w:hAnsi="Times New Roman" w:cs="仿宋_GB2312" w:hint="eastAsia"/>
          <w:sz w:val="32"/>
          <w:szCs w:val="32"/>
        </w:rPr>
        <w:t>　</w:t>
      </w:r>
      <w:r>
        <w:rPr>
          <w:rFonts w:ascii="Times New Roman" w:hAnsi="Times New Roman" w:cs="仿宋_GB2312" w:hint="eastAsia"/>
          <w:sz w:val="32"/>
          <w:szCs w:val="32"/>
        </w:rPr>
        <w:t>本法中下列用语的含义：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（二）学校，是指普通中小学、特殊教育学校、中等职业学校、专门学校。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（三）学生欺凌，是指发生在学生之间，一方蓄意或者恶意通过肢体、语言及网络等手段实施欺压、侮辱，造成另一方人身伤害、财产损失或者精神损害的行为。</w:t>
      </w:r>
    </w:p>
    <w:p>
      <w:pPr>
        <w:ind w:firstLine="640" w:firstLineChars="200"/>
        <w:rPr>
          <w:rFonts w:ascii="Times New Roman" w:hAnsi="Times New Roman" w:cs="仿宋_GB2312"/>
          <w:sz w:val="32"/>
          <w:szCs w:val="32"/>
        </w:rPr>
      </w:pPr>
      <w:bookmarkStart w:id="142" w:name="第一百三十一条"/>
      <w:bookmarkEnd w:id="142"/>
      <w:r>
        <w:rPr>
          <w:rFonts w:ascii="Times New Roman" w:eastAsia="黑体" w:hAnsi="Times New Roman" w:cs="黑体" w:hint="eastAsia"/>
          <w:sz w:val="32"/>
          <w:szCs w:val="32"/>
        </w:rPr>
        <w:t>第一百三十一条</w:t>
      </w:r>
      <w:r>
        <w:rPr>
          <w:rFonts w:ascii="Times New Roman" w:hAnsi="Times New Roman" w:cs="仿宋_GB2312" w:hint="eastAsia"/>
          <w:sz w:val="32"/>
          <w:szCs w:val="32"/>
        </w:rPr>
        <w:t>　</w:t>
      </w:r>
      <w:r>
        <w:rPr>
          <w:rFonts w:ascii="Times New Roman" w:hAnsi="Times New Roman" w:cs="仿宋_GB2312" w:hint="eastAsia"/>
          <w:sz w:val="32"/>
          <w:szCs w:val="32"/>
        </w:rPr>
        <w:t>对中国境内未满十八周岁的外国人、无国籍人，依照本法有关规定予以保护。</w:t>
      </w:r>
    </w:p>
    <w:p>
      <w:pPr>
        <w:ind w:firstLine="640" w:firstLineChars="200"/>
        <w:rPr>
          <w:rFonts w:ascii="Times New Roman" w:hAnsi="Times New Roman" w:cs="仿宋_GB2312"/>
          <w:sz w:val="32"/>
          <w:szCs w:val="32"/>
        </w:rPr>
      </w:pPr>
      <w:bookmarkStart w:id="143" w:name="第一百三十二条"/>
      <w:bookmarkEnd w:id="143"/>
      <w:r>
        <w:rPr>
          <w:rFonts w:ascii="Times New Roman" w:eastAsia="黑体" w:hAnsi="Times New Roman" w:cs="黑体" w:hint="eastAsia"/>
          <w:sz w:val="32"/>
          <w:szCs w:val="32"/>
        </w:rPr>
        <w:t>第一百三十二条</w:t>
      </w:r>
      <w:r>
        <w:rPr>
          <w:rFonts w:ascii="Times New Roman" w:hAnsi="Times New Roman" w:cs="仿宋_GB2312" w:hint="eastAsia"/>
          <w:sz w:val="32"/>
          <w:szCs w:val="32"/>
        </w:rPr>
        <w:t>　</w:t>
      </w:r>
      <w:r>
        <w:rPr>
          <w:rFonts w:ascii="Times New Roman" w:hAnsi="Times New Roman" w:cs="仿宋_GB2312" w:hint="eastAsia"/>
          <w:sz w:val="32"/>
          <w:szCs w:val="32"/>
        </w:rPr>
        <w:t>本法自2021年6月1日起施行。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